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2DF7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市财政局202</w:t>
      </w:r>
      <w:r>
        <w:rPr>
          <w:rFonts w:hint="eastAsia" w:ascii="方正大标宋简体" w:hAnsi="方正大标宋简体" w:eastAsia="方正大标宋简体" w:cs="方正大标宋简体"/>
          <w:sz w:val="44"/>
          <w:szCs w:val="44"/>
          <w:lang w:val="en-US" w:eastAsia="zh-CN"/>
        </w:rPr>
        <w:t>5</w:t>
      </w:r>
      <w:r>
        <w:rPr>
          <w:rFonts w:hint="eastAsia" w:ascii="方正大标宋简体" w:hAnsi="方正大标宋简体" w:eastAsia="方正大标宋简体" w:cs="方正大标宋简体"/>
          <w:sz w:val="44"/>
          <w:szCs w:val="44"/>
          <w:lang w:eastAsia="zh-CN"/>
        </w:rPr>
        <w:t>年上半年工作总结和</w:t>
      </w:r>
    </w:p>
    <w:p w14:paraId="7F7AE17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lang w:eastAsia="zh-CN"/>
        </w:rPr>
        <w:t>下半年工作</w:t>
      </w:r>
      <w:bookmarkStart w:id="0" w:name="_Hlk502158080"/>
      <w:r>
        <w:rPr>
          <w:rFonts w:hint="eastAsia" w:ascii="方正大标宋简体" w:hAnsi="方正大标宋简体" w:eastAsia="方正大标宋简体" w:cs="方正大标宋简体"/>
          <w:sz w:val="44"/>
          <w:szCs w:val="44"/>
          <w:lang w:eastAsia="zh-CN"/>
        </w:rPr>
        <w:t>计划</w:t>
      </w:r>
    </w:p>
    <w:p w14:paraId="2A70FEA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2025年7月22日</w:t>
      </w:r>
    </w:p>
    <w:p w14:paraId="1C8958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1" w:name="_GoBack"/>
      <w:bookmarkEnd w:id="1"/>
    </w:p>
    <w:p w14:paraId="2DB9BB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今年以来，在市委、市政府的坚强领导下，全市财政部门深入贯彻习近平总书记视察江西重要讲话精神，全面落实中央、省委经济工作会议和</w:t>
      </w:r>
      <w:r>
        <w:rPr>
          <w:rFonts w:hint="eastAsia" w:cs="仿宋_GB2312"/>
          <w:sz w:val="32"/>
          <w:szCs w:val="32"/>
          <w:lang w:val="en-US" w:eastAsia="zh-CN"/>
        </w:rPr>
        <w:t>市委全会</w:t>
      </w:r>
      <w:r>
        <w:rPr>
          <w:rFonts w:hint="eastAsia" w:ascii="仿宋_GB2312" w:hAnsi="仿宋_GB2312" w:eastAsia="仿宋_GB2312" w:cs="仿宋_GB2312"/>
          <w:sz w:val="32"/>
          <w:szCs w:val="32"/>
          <w:lang w:val="en-US" w:eastAsia="zh-CN"/>
        </w:rPr>
        <w:t>精神，统筹发展和安全，落实积极的财政政策，预算执行情况总体较为平稳。</w:t>
      </w:r>
    </w:p>
    <w:p w14:paraId="772B1FF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一、全市预算执行总体情况</w:t>
      </w:r>
    </w:p>
    <w:p w14:paraId="7CCE57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（一）一般公共预算</w:t>
      </w:r>
    </w:p>
    <w:p w14:paraId="45BC7134">
      <w:pPr>
        <w:bidi w:val="0"/>
        <w:rPr>
          <w:rFonts w:hint="eastAsia"/>
          <w:lang w:eastAsia="zh-CN"/>
        </w:rPr>
      </w:pPr>
      <w:r>
        <w:rPr>
          <w:rFonts w:hint="eastAsia"/>
          <w:lang w:eastAsia="zh-CN"/>
        </w:rPr>
        <w:t>1-6月，全市一般公共预算收入完成46.67亿元，完成年度预算的51%，同比下降4.1%。其中：税收收入完成27.64亿元，完成年度预算的50.7%，同比增长2.9%；非税收入完成19.03亿元，完成年度预算的51.4%，实现“双过半”。</w:t>
      </w:r>
    </w:p>
    <w:p w14:paraId="13397969">
      <w:pPr>
        <w:bidi w:val="0"/>
        <w:rPr>
          <w:rFonts w:hint="eastAsia"/>
          <w:lang w:eastAsia="zh-CN"/>
        </w:rPr>
      </w:pPr>
      <w:r>
        <w:rPr>
          <w:rFonts w:hint="eastAsia"/>
          <w:lang w:eastAsia="zh-CN"/>
        </w:rPr>
        <w:t>1-6月，全市一般公共预算支出完成103.71亿元，同比下降11%。其中：民生支出完成79.74亿元，占一般公共预算支出比重为76.9%，同比上升了1.4个百分点。</w:t>
      </w:r>
    </w:p>
    <w:p w14:paraId="609E3A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（二）政府性基金预算</w:t>
      </w:r>
    </w:p>
    <w:p w14:paraId="591D8DEA">
      <w:pPr>
        <w:bidi w:val="0"/>
        <w:rPr>
          <w:rFonts w:hint="eastAsia"/>
          <w:lang w:eastAsia="zh-CN"/>
        </w:rPr>
      </w:pPr>
      <w:r>
        <w:rPr>
          <w:rFonts w:hint="eastAsia"/>
          <w:lang w:eastAsia="zh-CN"/>
        </w:rPr>
        <w:t>1-6月，全市政府性基金预算收入完成23.08亿元，同比下降73.1%。其中：国有土地使用权出让收入完成13.94亿元，同比下降82.99%。</w:t>
      </w:r>
    </w:p>
    <w:p w14:paraId="5B262F35">
      <w:pPr>
        <w:bidi w:val="0"/>
        <w:rPr>
          <w:rFonts w:hint="eastAsia"/>
          <w:lang w:eastAsia="zh-CN"/>
        </w:rPr>
      </w:pPr>
      <w:r>
        <w:rPr>
          <w:rFonts w:hint="eastAsia"/>
          <w:lang w:eastAsia="zh-CN"/>
        </w:rPr>
        <w:t>1-6月，全市政府性基金支出完成52.56亿元，同比下降62.2%。其中：国有土地出让收入安排的支出为31.36亿元，同比下降69.1%。</w:t>
      </w:r>
    </w:p>
    <w:p w14:paraId="32D9AD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（三）国有资本经营预算</w:t>
      </w:r>
    </w:p>
    <w:p w14:paraId="793962D9">
      <w:pPr>
        <w:bidi w:val="0"/>
        <w:rPr>
          <w:rFonts w:hint="eastAsia" w:ascii="楷体_GB2312" w:hAnsi="楷体_GB2312" w:eastAsia="楷体_GB2312" w:cs="楷体_GB2312"/>
          <w:b/>
          <w:bCs/>
          <w:color w:val="auto"/>
          <w:sz w:val="32"/>
          <w:szCs w:val="32"/>
          <w:highlight w:val="none"/>
          <w:lang w:eastAsia="zh-CN"/>
        </w:rPr>
      </w:pPr>
      <w:r>
        <w:rPr>
          <w:rFonts w:hint="eastAsia"/>
          <w:lang w:eastAsia="zh-CN"/>
        </w:rPr>
        <w:t>1-6月，全市国有资本经营预算收入4.79亿元，同比增长56.5%。全市国有资本经营预算支出为1.03亿元，同比下降53.4%。</w:t>
      </w:r>
    </w:p>
    <w:p w14:paraId="06FB3A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highlight w:val="none"/>
          <w:lang w:val="en-US" w:eastAsia="zh-CN"/>
        </w:rPr>
      </w:pPr>
      <w:r>
        <w:rPr>
          <w:rFonts w:hint="eastAsia" w:ascii="楷体_GB2312" w:hAnsi="楷体_GB2312" w:eastAsia="楷体_GB2312" w:cs="楷体_GB2312"/>
          <w:b/>
          <w:bCs w:val="0"/>
          <w:color w:val="auto"/>
          <w:sz w:val="32"/>
          <w:szCs w:val="32"/>
          <w:highlight w:val="none"/>
          <w:lang w:val="en-US" w:eastAsia="zh-CN"/>
        </w:rPr>
        <w:t>（四）社会保险基金预算</w:t>
      </w:r>
    </w:p>
    <w:p w14:paraId="55570797">
      <w:pPr>
        <w:bidi w:val="0"/>
        <w:rPr>
          <w:rFonts w:hint="eastAsia"/>
          <w:lang w:val="en-US" w:eastAsia="zh-CN"/>
        </w:rPr>
      </w:pPr>
      <w:r>
        <w:rPr>
          <w:rFonts w:hint="eastAsia"/>
          <w:lang w:val="en-US" w:eastAsia="zh-CN"/>
        </w:rPr>
        <w:t>1-6月，全市社会保险基金预算收入22.37亿元，支出23.71亿元。市本级社会保险基金预算收入15.03亿元，支出15.44亿元。</w:t>
      </w:r>
    </w:p>
    <w:p w14:paraId="71379DC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二、上半年重点工作</w:t>
      </w:r>
    </w:p>
    <w:bookmarkEnd w:id="0"/>
    <w:p w14:paraId="093C14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FF0000"/>
          <w:sz w:val="32"/>
          <w:szCs w:val="32"/>
          <w:highlight w:val="none"/>
          <w:lang w:val="en-US" w:eastAsia="zh-CN"/>
        </w:rPr>
      </w:pPr>
      <w:r>
        <w:rPr>
          <w:rFonts w:hint="eastAsia" w:ascii="楷体_GB2312" w:hAnsi="楷体_GB2312" w:eastAsia="楷体_GB2312" w:cs="楷体_GB2312"/>
          <w:b/>
          <w:bCs w:val="0"/>
          <w:color w:val="auto"/>
          <w:sz w:val="32"/>
          <w:szCs w:val="32"/>
          <w:highlight w:val="none"/>
          <w:lang w:val="en-US" w:eastAsia="zh-CN"/>
        </w:rPr>
        <w:t>（一）开源节流齐抓，多措并举稳住基本财力支撑。</w:t>
      </w:r>
      <w:r>
        <w:rPr>
          <w:rFonts w:hint="eastAsia" w:ascii="仿宋_GB2312" w:hAnsi="仿宋_GB2312" w:eastAsia="仿宋_GB2312" w:cs="仿宋_GB2312"/>
          <w:b/>
          <w:bCs w:val="0"/>
          <w:color w:val="auto"/>
          <w:sz w:val="32"/>
          <w:szCs w:val="32"/>
          <w:highlight w:val="none"/>
          <w:lang w:val="en-US" w:eastAsia="zh-CN"/>
        </w:rPr>
        <w:t>一是</w:t>
      </w:r>
      <w:r>
        <w:rPr>
          <w:rFonts w:hint="eastAsia" w:cs="仿宋_GB2312"/>
          <w:b/>
          <w:bCs w:val="0"/>
          <w:color w:val="auto"/>
          <w:sz w:val="32"/>
          <w:szCs w:val="32"/>
          <w:highlight w:val="none"/>
          <w:lang w:val="en-US" w:eastAsia="zh-CN"/>
        </w:rPr>
        <w:t>积极组织财政收入</w:t>
      </w:r>
      <w:r>
        <w:rPr>
          <w:rFonts w:hint="eastAsia" w:ascii="仿宋_GB2312" w:hAnsi="仿宋_GB2312" w:eastAsia="仿宋_GB2312" w:cs="仿宋_GB2312"/>
          <w:b/>
          <w:bCs w:val="0"/>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认真落实市委、市政府决策部署</w:t>
      </w:r>
      <w:r>
        <w:rPr>
          <w:rFonts w:hint="eastAsia" w:cs="仿宋_GB2312"/>
          <w:color w:val="auto"/>
          <w:sz w:val="32"/>
          <w:szCs w:val="32"/>
          <w:lang w:val="en-US" w:eastAsia="zh-CN"/>
        </w:rPr>
        <w:t>，制定出台</w:t>
      </w:r>
      <w:r>
        <w:rPr>
          <w:rFonts w:hint="eastAsia" w:ascii="仿宋_GB2312" w:hAnsi="仿宋_GB2312" w:eastAsia="仿宋_GB2312" w:cs="仿宋_GB2312"/>
          <w:b w:val="0"/>
          <w:bCs/>
          <w:color w:val="auto"/>
          <w:sz w:val="32"/>
          <w:szCs w:val="32"/>
          <w:highlight w:val="none"/>
          <w:lang w:val="en-US" w:eastAsia="zh-CN"/>
        </w:rPr>
        <w:t>《组织收入攻坚工作方案》《挖潜堵漏增收专项行动方案》</w:t>
      </w:r>
      <w:r>
        <w:rPr>
          <w:rFonts w:hint="eastAsia" w:ascii="仿宋_GB2312" w:hAnsi="仿宋_GB2312" w:eastAsia="仿宋_GB2312" w:cs="仿宋_GB2312"/>
          <w:color w:val="auto"/>
          <w:sz w:val="32"/>
          <w:szCs w:val="32"/>
          <w:lang w:val="en-US" w:eastAsia="zh-CN"/>
        </w:rPr>
        <w:t>，在组织收入、盘活“三资”、争资争项</w:t>
      </w:r>
      <w:r>
        <w:rPr>
          <w:rFonts w:hint="eastAsia" w:cs="仿宋_GB2312"/>
          <w:color w:val="auto"/>
          <w:sz w:val="32"/>
          <w:szCs w:val="32"/>
          <w:lang w:val="en-US" w:eastAsia="zh-CN"/>
        </w:rPr>
        <w:t>、专项债收益</w:t>
      </w:r>
      <w:r>
        <w:rPr>
          <w:rFonts w:hint="eastAsia" w:ascii="仿宋_GB2312" w:hAnsi="仿宋_GB2312" w:eastAsia="仿宋_GB2312" w:cs="仿宋_GB2312"/>
          <w:color w:val="auto"/>
          <w:sz w:val="32"/>
          <w:szCs w:val="32"/>
          <w:lang w:val="en-US" w:eastAsia="zh-CN"/>
        </w:rPr>
        <w:t>等方面扩大增量、激活存量、催生变量，强化组织调度，压紧压实责任，一般公共预算收入实现“双过半”。</w:t>
      </w:r>
      <w:r>
        <w:rPr>
          <w:rFonts w:hint="eastAsia" w:cs="仿宋_GB2312"/>
          <w:b/>
          <w:bCs/>
          <w:color w:val="auto"/>
          <w:sz w:val="32"/>
          <w:szCs w:val="32"/>
          <w:lang w:val="en-US" w:eastAsia="zh-CN"/>
        </w:rPr>
        <w:t>二是</w:t>
      </w:r>
      <w:r>
        <w:rPr>
          <w:rFonts w:hint="eastAsia" w:ascii="仿宋_GB2312" w:hAnsi="仿宋_GB2312" w:eastAsia="仿宋_GB2312" w:cs="仿宋_GB2312"/>
          <w:b/>
          <w:bCs/>
          <w:color w:val="auto"/>
          <w:sz w:val="32"/>
          <w:szCs w:val="32"/>
          <w:highlight w:val="none"/>
          <w:lang w:val="en-US" w:eastAsia="zh-CN"/>
        </w:rPr>
        <w:t>创新推出纳税“红榜”制度</w:t>
      </w:r>
      <w:r>
        <w:rPr>
          <w:rFonts w:hint="eastAsia" w:cs="仿宋_GB2312"/>
          <w:b/>
          <w:bCs/>
          <w:color w:val="auto"/>
          <w:sz w:val="32"/>
          <w:szCs w:val="32"/>
          <w:highlight w:val="none"/>
          <w:lang w:val="en-US" w:eastAsia="zh-CN"/>
        </w:rPr>
        <w:t>。</w:t>
      </w:r>
      <w:r>
        <w:rPr>
          <w:rFonts w:hint="eastAsia" w:cs="仿宋_GB2312"/>
          <w:b w:val="0"/>
          <w:bCs/>
          <w:color w:val="auto"/>
          <w:sz w:val="32"/>
          <w:szCs w:val="32"/>
          <w:highlight w:val="none"/>
          <w:lang w:val="en-US" w:eastAsia="zh-CN"/>
        </w:rPr>
        <w:t>制定《纳税“红榜”工作实施方案（试行）》，建立企业和艺术大师纳税“红榜”荣誉制度，引导陶瓷艺术行业从业人员规范纳税，持续营造全社会诚信纳税氛围。</w:t>
      </w:r>
      <w:r>
        <w:rPr>
          <w:rFonts w:hint="eastAsia" w:cs="仿宋_GB2312"/>
          <w:b/>
          <w:bCs w:val="0"/>
          <w:color w:val="auto"/>
          <w:sz w:val="32"/>
          <w:szCs w:val="32"/>
          <w:highlight w:val="none"/>
          <w:lang w:val="en-US" w:eastAsia="zh-CN"/>
        </w:rPr>
        <w:t>三</w:t>
      </w:r>
      <w:r>
        <w:rPr>
          <w:rFonts w:hint="eastAsia" w:ascii="仿宋_GB2312" w:hAnsi="仿宋_GB2312" w:eastAsia="仿宋_GB2312" w:cs="仿宋_GB2312"/>
          <w:b/>
          <w:bCs w:val="0"/>
          <w:color w:val="auto"/>
          <w:sz w:val="32"/>
          <w:szCs w:val="32"/>
          <w:highlight w:val="none"/>
          <w:lang w:val="en-US" w:eastAsia="zh-CN"/>
        </w:rPr>
        <w:t>是</w:t>
      </w:r>
      <w:r>
        <w:rPr>
          <w:rFonts w:hint="eastAsia" w:cs="仿宋_GB2312"/>
          <w:b/>
          <w:bCs w:val="0"/>
          <w:color w:val="auto"/>
          <w:sz w:val="32"/>
          <w:szCs w:val="32"/>
          <w:highlight w:val="none"/>
          <w:lang w:val="en-US" w:eastAsia="zh-CN"/>
        </w:rPr>
        <w:t>从严从紧压紧财政支出</w:t>
      </w:r>
      <w:r>
        <w:rPr>
          <w:rFonts w:hint="eastAsia" w:ascii="仿宋_GB2312" w:hAnsi="仿宋_GB2312" w:eastAsia="仿宋_GB2312" w:cs="仿宋_GB2312"/>
          <w:b/>
          <w:bCs w:val="0"/>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严控财政供养人员规模</w:t>
      </w:r>
      <w:r>
        <w:rPr>
          <w:rFonts w:hint="eastAsia"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核销31家行政机关52名工勤空编</w:t>
      </w:r>
      <w:r>
        <w:rPr>
          <w:rFonts w:hint="eastAsia" w:cs="仿宋_GB2312"/>
          <w:b w:val="0"/>
          <w:bCs/>
          <w:color w:val="auto"/>
          <w:sz w:val="32"/>
          <w:szCs w:val="32"/>
          <w:highlight w:val="none"/>
          <w:lang w:val="en-US" w:eastAsia="zh-CN"/>
        </w:rPr>
        <w:t>；</w:t>
      </w:r>
      <w:r>
        <w:rPr>
          <w:rFonts w:hint="eastAsia" w:ascii="仿宋_GB2312" w:hAnsi="仿宋_GB2312" w:eastAsia="仿宋_GB2312" w:cs="仿宋_GB2312"/>
          <w:b w:val="0"/>
          <w:bCs w:val="0"/>
          <w:color w:val="auto"/>
          <w:sz w:val="32"/>
          <w:szCs w:val="32"/>
          <w:lang w:val="en-US" w:eastAsia="zh-CN"/>
        </w:rPr>
        <w:t>累计清理非编人员1159人，</w:t>
      </w:r>
      <w:r>
        <w:rPr>
          <w:rFonts w:hint="eastAsia" w:cs="仿宋_GB2312"/>
          <w:b w:val="0"/>
          <w:bCs w:val="0"/>
          <w:color w:val="auto"/>
          <w:sz w:val="32"/>
          <w:szCs w:val="32"/>
          <w:lang w:val="en-US" w:eastAsia="zh-CN"/>
        </w:rPr>
        <w:t>每年</w:t>
      </w:r>
      <w:r>
        <w:rPr>
          <w:rFonts w:hint="eastAsia" w:ascii="仿宋_GB2312" w:hAnsi="仿宋_GB2312" w:eastAsia="仿宋_GB2312" w:cs="仿宋_GB2312"/>
          <w:b w:val="0"/>
          <w:bCs w:val="0"/>
          <w:color w:val="auto"/>
          <w:sz w:val="32"/>
          <w:szCs w:val="32"/>
          <w:lang w:val="en-US" w:eastAsia="zh-CN"/>
        </w:rPr>
        <w:t>减少支出4000余万元</w:t>
      </w:r>
      <w:r>
        <w:rPr>
          <w:rFonts w:hint="eastAsia" w:cs="仿宋_GB2312"/>
          <w:b w:val="0"/>
          <w:bCs w:val="0"/>
          <w:color w:val="auto"/>
          <w:sz w:val="32"/>
          <w:szCs w:val="32"/>
          <w:lang w:val="en-US" w:eastAsia="zh-CN"/>
        </w:rPr>
        <w:t>；整治违规保障，清退各类违规发放津补贴资金509.39万元</w:t>
      </w:r>
      <w:r>
        <w:rPr>
          <w:rFonts w:hint="eastAsia" w:ascii="仿宋_GB2312" w:hAnsi="仿宋_GB2312" w:eastAsia="仿宋_GB2312" w:cs="仿宋_GB2312"/>
          <w:b w:val="0"/>
          <w:bCs/>
          <w:color w:val="auto"/>
          <w:sz w:val="32"/>
          <w:szCs w:val="32"/>
          <w:highlight w:val="none"/>
          <w:lang w:val="en-US" w:eastAsia="zh-CN"/>
        </w:rPr>
        <w:t>。</w:t>
      </w:r>
    </w:p>
    <w:p w14:paraId="5A7E2F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FF0000"/>
          <w:sz w:val="32"/>
          <w:szCs w:val="32"/>
          <w:highlight w:val="none"/>
          <w:lang w:val="en-US" w:eastAsia="zh-CN"/>
        </w:rPr>
      </w:pPr>
      <w:r>
        <w:rPr>
          <w:rFonts w:hint="eastAsia" w:ascii="楷体_GB2312" w:hAnsi="楷体_GB2312" w:eastAsia="楷体_GB2312" w:cs="楷体_GB2312"/>
          <w:b/>
          <w:bCs w:val="0"/>
          <w:color w:val="auto"/>
          <w:sz w:val="32"/>
          <w:szCs w:val="32"/>
          <w:highlight w:val="none"/>
          <w:lang w:val="en-US" w:eastAsia="zh-CN"/>
        </w:rPr>
        <w:t>（二）加力争资争项，用好用足用活财政金融工具。</w:t>
      </w:r>
      <w:r>
        <w:rPr>
          <w:rFonts w:hint="eastAsia" w:ascii="仿宋_GB2312" w:hAnsi="仿宋_GB2312" w:eastAsia="仿宋_GB2312" w:cs="仿宋_GB2312"/>
          <w:b/>
          <w:bCs w:val="0"/>
          <w:color w:val="auto"/>
          <w:sz w:val="32"/>
          <w:szCs w:val="32"/>
          <w:highlight w:val="none"/>
          <w:lang w:val="en-US" w:eastAsia="zh-CN"/>
        </w:rPr>
        <w:t>一是强化政策研究</w:t>
      </w:r>
      <w:r>
        <w:rPr>
          <w:rFonts w:hint="eastAsia" w:cs="仿宋_GB2312"/>
          <w:b/>
          <w:bCs w:val="0"/>
          <w:color w:val="auto"/>
          <w:sz w:val="32"/>
          <w:szCs w:val="32"/>
          <w:highlight w:val="none"/>
          <w:lang w:val="en-US" w:eastAsia="zh-CN"/>
        </w:rPr>
        <w:t>争取资金支持</w:t>
      </w:r>
      <w:r>
        <w:rPr>
          <w:rFonts w:hint="eastAsia" w:ascii="仿宋_GB2312" w:hAnsi="仿宋_GB2312" w:eastAsia="仿宋_GB2312" w:cs="仿宋_GB2312"/>
          <w:b/>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2025年全市</w:t>
      </w:r>
      <w:r>
        <w:rPr>
          <w:rFonts w:hint="eastAsia" w:cs="仿宋_GB2312"/>
          <w:color w:val="auto"/>
          <w:sz w:val="32"/>
          <w:szCs w:val="32"/>
          <w:highlight w:val="none"/>
          <w:lang w:val="en-US" w:eastAsia="zh-CN"/>
        </w:rPr>
        <w:t>争取</w:t>
      </w:r>
      <w:r>
        <w:rPr>
          <w:rFonts w:hint="eastAsia" w:ascii="仿宋_GB2312" w:hAnsi="仿宋_GB2312" w:eastAsia="仿宋_GB2312" w:cs="仿宋_GB2312"/>
          <w:color w:val="auto"/>
          <w:sz w:val="32"/>
          <w:szCs w:val="32"/>
          <w:highlight w:val="none"/>
          <w:lang w:val="en-US" w:eastAsia="zh-CN"/>
        </w:rPr>
        <w:t>到因素法、申报制转移支付资金101.28亿元，</w:t>
      </w:r>
      <w:r>
        <w:rPr>
          <w:rFonts w:hint="eastAsia" w:cs="仿宋_GB2312"/>
          <w:color w:val="auto"/>
          <w:sz w:val="32"/>
          <w:szCs w:val="32"/>
          <w:highlight w:val="none"/>
          <w:lang w:val="en-US" w:eastAsia="zh-CN"/>
        </w:rPr>
        <w:t>其中：市本级</w:t>
      </w:r>
      <w:r>
        <w:rPr>
          <w:rFonts w:hint="eastAsia" w:ascii="仿宋_GB2312" w:hAnsi="仿宋_GB2312" w:eastAsia="仿宋_GB2312" w:cs="仿宋_GB2312"/>
          <w:color w:val="auto"/>
          <w:sz w:val="32"/>
          <w:szCs w:val="32"/>
          <w:highlight w:val="none"/>
          <w:lang w:val="en-US" w:eastAsia="zh-CN"/>
        </w:rPr>
        <w:t>争取财力性补助资金已达13.34亿元</w:t>
      </w:r>
      <w:r>
        <w:rPr>
          <w:rFonts w:hint="eastAsia" w:cs="仿宋_GB2312"/>
          <w:color w:val="auto"/>
          <w:sz w:val="32"/>
          <w:szCs w:val="32"/>
          <w:highlight w:val="none"/>
          <w:lang w:val="en-US" w:eastAsia="zh-CN"/>
        </w:rPr>
        <w:t>（</w:t>
      </w:r>
      <w:r>
        <w:rPr>
          <w:rFonts w:hint="eastAsia" w:cs="仿宋_GB2312"/>
          <w:color w:val="auto"/>
          <w:sz w:val="32"/>
          <w:szCs w:val="32"/>
          <w:lang w:val="en-US" w:eastAsia="zh-CN"/>
        </w:rPr>
        <w:t>含</w:t>
      </w:r>
      <w:r>
        <w:rPr>
          <w:rFonts w:hint="eastAsia" w:ascii="仿宋_GB2312" w:hAnsi="仿宋_GB2312" w:eastAsia="仿宋_GB2312" w:cs="仿宋_GB2312"/>
          <w:color w:val="auto"/>
          <w:sz w:val="32"/>
          <w:szCs w:val="32"/>
          <w:lang w:val="en-US" w:eastAsia="zh-CN"/>
        </w:rPr>
        <w:t>资源枯竭城市转移支付资金3.01亿元，已超过去年的2.58亿元</w:t>
      </w:r>
      <w:r>
        <w:rPr>
          <w:rFonts w:hint="eastAsia" w:cs="仿宋_GB2312"/>
          <w:color w:val="auto"/>
          <w:sz w:val="32"/>
          <w:szCs w:val="32"/>
          <w:highlight w:val="none"/>
          <w:lang w:val="en-US" w:eastAsia="zh-CN"/>
        </w:rPr>
        <w:t>）。成功争创国家级制造业新型技术改造城市试点，获批中央财政补助资金3亿元；成功申报</w:t>
      </w:r>
      <w:r>
        <w:rPr>
          <w:rFonts w:hint="eastAsia" w:ascii="仿宋_GB2312" w:hAnsi="仿宋_GB2312" w:eastAsia="仿宋_GB2312" w:cs="仿宋_GB2312"/>
          <w:color w:val="auto"/>
          <w:sz w:val="32"/>
          <w:szCs w:val="32"/>
          <w:lang w:val="en-US" w:eastAsia="zh-CN"/>
        </w:rPr>
        <w:t>重点区域历史遗留废弃矿山生态修复项目，</w:t>
      </w:r>
      <w:r>
        <w:rPr>
          <w:rFonts w:hint="eastAsia" w:cs="仿宋_GB2312"/>
          <w:color w:val="auto"/>
          <w:sz w:val="32"/>
          <w:szCs w:val="32"/>
          <w:lang w:val="en-US" w:eastAsia="zh-CN"/>
        </w:rPr>
        <w:t>预计获批中央财政</w:t>
      </w:r>
      <w:r>
        <w:rPr>
          <w:rFonts w:hint="eastAsia" w:ascii="仿宋_GB2312" w:hAnsi="仿宋_GB2312" w:eastAsia="仿宋_GB2312" w:cs="仿宋_GB2312"/>
          <w:color w:val="auto"/>
          <w:sz w:val="32"/>
          <w:szCs w:val="32"/>
          <w:lang w:val="en-US" w:eastAsia="zh-CN"/>
        </w:rPr>
        <w:t>项目资金3亿元</w:t>
      </w:r>
      <w:r>
        <w:rPr>
          <w:rFonts w:hint="eastAsia" w:cs="仿宋_GB2312"/>
          <w:color w:val="auto"/>
          <w:sz w:val="32"/>
          <w:szCs w:val="32"/>
          <w:lang w:val="en-US" w:eastAsia="zh-CN"/>
        </w:rPr>
        <w:t>。</w:t>
      </w:r>
      <w:r>
        <w:rPr>
          <w:rFonts w:hint="eastAsia" w:cs="仿宋_GB2312"/>
          <w:b/>
          <w:bCs/>
          <w:color w:val="auto"/>
          <w:sz w:val="32"/>
          <w:szCs w:val="32"/>
          <w:highlight w:val="none"/>
          <w:lang w:val="en-US" w:eastAsia="zh-CN"/>
        </w:rPr>
        <w:t>二是高效争取地方政府债券限额。</w:t>
      </w:r>
      <w:r>
        <w:rPr>
          <w:rFonts w:hint="eastAsia" w:cs="仿宋_GB2312"/>
          <w:color w:val="auto"/>
          <w:sz w:val="32"/>
          <w:szCs w:val="32"/>
          <w:highlight w:val="none"/>
          <w:lang w:val="en-US" w:eastAsia="zh-CN"/>
        </w:rPr>
        <w:t>截至6月，</w:t>
      </w:r>
      <w:r>
        <w:rPr>
          <w:rFonts w:hint="eastAsia" w:ascii="仿宋_GB2312" w:hAnsi="仿宋_GB2312" w:eastAsia="仿宋_GB2312" w:cs="仿宋_GB2312"/>
          <w:b w:val="0"/>
          <w:bCs/>
          <w:color w:val="auto"/>
          <w:sz w:val="32"/>
          <w:szCs w:val="32"/>
          <w:highlight w:val="none"/>
          <w:lang w:val="en-US" w:eastAsia="zh-CN"/>
        </w:rPr>
        <w:t>省财政厅已下发我市全年新增债务限额124.05亿元（较2024年的66.69亿元增长86%），其中：专项债务限额112.56亿元（较2024年的56.13亿元增长100.53%），一般债务限额11.49亿元（较2024年的10.56亿元增长8.8%）。我市占全省比重较全省占全国比重多3.03个百分点，与四小地市相比，我市总量和占全省比重均列第一。</w:t>
      </w:r>
      <w:r>
        <w:rPr>
          <w:rFonts w:hint="eastAsia" w:cs="仿宋_GB2312"/>
          <w:b/>
          <w:bCs w:val="0"/>
          <w:color w:val="auto"/>
          <w:sz w:val="32"/>
          <w:szCs w:val="32"/>
          <w:highlight w:val="none"/>
          <w:lang w:val="en-US" w:eastAsia="zh-CN"/>
        </w:rPr>
        <w:t>三是全力推进专项债项目申报工作。</w:t>
      </w:r>
      <w:r>
        <w:rPr>
          <w:rFonts w:hint="eastAsia" w:cs="仿宋_GB2312"/>
          <w:b w:val="0"/>
          <w:bCs/>
          <w:color w:val="auto"/>
          <w:sz w:val="32"/>
          <w:szCs w:val="32"/>
          <w:highlight w:val="none"/>
          <w:lang w:val="en-US" w:eastAsia="zh-CN"/>
        </w:rPr>
        <w:t>梳理</w:t>
      </w:r>
      <w:r>
        <w:rPr>
          <w:rFonts w:hint="eastAsia" w:ascii="仿宋_GB2312" w:hAnsi="仿宋_GB2312" w:eastAsia="仿宋_GB2312" w:cs="仿宋_GB2312"/>
          <w:b w:val="0"/>
          <w:bCs/>
          <w:color w:val="auto"/>
          <w:sz w:val="32"/>
          <w:szCs w:val="32"/>
          <w:highlight w:val="none"/>
          <w:lang w:val="en-US" w:eastAsia="zh-CN"/>
        </w:rPr>
        <w:t>上报130个专项债项目至省厅进行需求评审，已通过61个，总投资294.47亿元，总需求112.34亿元。加上往年通过省厅需求评审项目，全市2025年已有21个项目（总投资70.85亿元，发债需求22.23亿元）通过国家两部委审核，55个项目（总投资283.12亿元，总需求107.48亿元）正在审核中。</w:t>
      </w:r>
    </w:p>
    <w:p w14:paraId="601F1C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highlight w:val="none"/>
          <w:lang w:val="en-US" w:eastAsia="zh-CN"/>
        </w:rPr>
      </w:pPr>
      <w:r>
        <w:rPr>
          <w:rFonts w:hint="eastAsia" w:ascii="楷体_GB2312" w:hAnsi="仿宋_GB2312" w:eastAsia="楷体_GB2312" w:cs="仿宋_GB2312"/>
          <w:b/>
          <w:bCs/>
          <w:color w:val="auto"/>
          <w:kern w:val="2"/>
          <w:sz w:val="32"/>
          <w:szCs w:val="32"/>
          <w:lang w:val="en-US" w:eastAsia="zh-CN" w:bidi="ar-SA"/>
        </w:rPr>
        <w:t>（</w:t>
      </w:r>
      <w:r>
        <w:rPr>
          <w:rFonts w:hint="eastAsia" w:ascii="楷体_GB2312" w:eastAsia="楷体_GB2312" w:cs="仿宋_GB2312"/>
          <w:b/>
          <w:bCs/>
          <w:color w:val="auto"/>
          <w:kern w:val="2"/>
          <w:sz w:val="32"/>
          <w:szCs w:val="32"/>
          <w:lang w:val="en-US" w:eastAsia="zh-CN" w:bidi="ar-SA"/>
        </w:rPr>
        <w:t>三</w:t>
      </w:r>
      <w:r>
        <w:rPr>
          <w:rFonts w:hint="eastAsia" w:ascii="楷体_GB2312" w:hAnsi="仿宋_GB2312" w:eastAsia="楷体_GB2312" w:cs="仿宋_GB2312"/>
          <w:b/>
          <w:bCs/>
          <w:color w:val="auto"/>
          <w:kern w:val="2"/>
          <w:sz w:val="32"/>
          <w:szCs w:val="32"/>
          <w:lang w:val="en-US" w:eastAsia="zh-CN" w:bidi="ar-SA"/>
        </w:rPr>
        <w:t>）持续深化改革，真抓实干提升财政</w:t>
      </w:r>
      <w:r>
        <w:rPr>
          <w:rFonts w:hint="eastAsia" w:ascii="楷体_GB2312" w:eastAsia="楷体_GB2312" w:cs="仿宋_GB2312"/>
          <w:b/>
          <w:bCs/>
          <w:color w:val="auto"/>
          <w:kern w:val="2"/>
          <w:sz w:val="32"/>
          <w:szCs w:val="32"/>
          <w:lang w:val="en-US" w:eastAsia="zh-CN" w:bidi="ar-SA"/>
        </w:rPr>
        <w:t>统筹能力</w:t>
      </w:r>
      <w:r>
        <w:rPr>
          <w:rFonts w:hint="eastAsia" w:ascii="楷体_GB2312" w:hAnsi="仿宋_GB2312" w:eastAsia="楷体_GB2312" w:cs="仿宋_GB2312"/>
          <w:b/>
          <w:bCs/>
          <w:color w:val="auto"/>
          <w:kern w:val="2"/>
          <w:sz w:val="32"/>
          <w:szCs w:val="32"/>
          <w:lang w:val="en-US" w:eastAsia="zh-CN" w:bidi="ar-SA"/>
        </w:rPr>
        <w:t>。</w:t>
      </w:r>
      <w:r>
        <w:rPr>
          <w:rFonts w:hint="eastAsia" w:ascii="仿宋_GB2312" w:hAnsi="仿宋_GB2312" w:eastAsia="仿宋_GB2312" w:cs="仿宋_GB2312"/>
          <w:b/>
          <w:bCs w:val="0"/>
          <w:color w:val="auto"/>
          <w:sz w:val="32"/>
          <w:szCs w:val="32"/>
          <w:highlight w:val="none"/>
          <w:lang w:val="en-US" w:eastAsia="zh-CN"/>
        </w:rPr>
        <w:t>一是持续深化零基预算改革。</w:t>
      </w:r>
      <w:r>
        <w:rPr>
          <w:rFonts w:hint="eastAsia" w:ascii="仿宋_GB2312" w:hAnsi="仿宋_GB2312" w:cs="仿宋_GB2312"/>
          <w:b w:val="0"/>
          <w:bCs w:val="0"/>
          <w:color w:val="auto"/>
          <w:lang w:val="en-US" w:eastAsia="zh-CN"/>
        </w:rPr>
        <w:t>研究</w:t>
      </w:r>
      <w:r>
        <w:rPr>
          <w:rFonts w:hint="eastAsia" w:ascii="仿宋_GB2312" w:hAnsi="仿宋_GB2312" w:eastAsia="仿宋_GB2312" w:cs="仿宋_GB2312"/>
          <w:b w:val="0"/>
          <w:bCs w:val="0"/>
          <w:color w:val="auto"/>
          <w:lang w:val="en-US" w:eastAsia="zh-CN"/>
        </w:rPr>
        <w:t>出台了《景德镇市深化零基预算改革实施方案》，统筹谋划了42条重点改革举措，</w:t>
      </w:r>
      <w:r>
        <w:rPr>
          <w:rFonts w:hint="eastAsia" w:ascii="仿宋_GB2312" w:hAnsi="仿宋_GB2312" w:cs="仿宋_GB2312"/>
          <w:b w:val="0"/>
          <w:bCs w:val="0"/>
          <w:color w:val="auto"/>
          <w:lang w:val="en-US" w:eastAsia="zh-CN"/>
        </w:rPr>
        <w:t>目前</w:t>
      </w:r>
      <w:r>
        <w:rPr>
          <w:rFonts w:hint="eastAsia" w:ascii="仿宋_GB2312" w:hAnsi="仿宋_GB2312" w:eastAsia="仿宋_GB2312" w:cs="仿宋_GB2312"/>
          <w:b w:val="0"/>
          <w:bCs w:val="0"/>
          <w:color w:val="auto"/>
          <w:lang w:val="en-US" w:eastAsia="zh-CN"/>
        </w:rPr>
        <w:t>零基预算改革工作</w:t>
      </w:r>
      <w:r>
        <w:rPr>
          <w:rFonts w:hint="eastAsia" w:ascii="仿宋_GB2312" w:hAnsi="仿宋_GB2312" w:cs="仿宋_GB2312"/>
          <w:b w:val="0"/>
          <w:bCs w:val="0"/>
          <w:color w:val="auto"/>
          <w:lang w:val="en-US" w:eastAsia="zh-CN"/>
        </w:rPr>
        <w:t>正在稳步推进</w:t>
      </w:r>
      <w:r>
        <w:rPr>
          <w:rFonts w:hint="eastAsia" w:ascii="仿宋_GB2312" w:hAnsi="仿宋_GB2312" w:eastAsia="仿宋_GB2312" w:cs="仿宋_GB2312"/>
          <w:b w:val="0"/>
          <w:bCs w:val="0"/>
          <w:color w:val="auto"/>
          <w:lang w:val="en-US" w:eastAsia="zh-CN"/>
        </w:rPr>
        <w:t>，财政资源配置效率和可持续性显著增强</w:t>
      </w:r>
      <w:r>
        <w:rPr>
          <w:rFonts w:hint="eastAsia" w:cs="仿宋_GB2312"/>
          <w:b w:val="0"/>
          <w:bCs w:val="0"/>
          <w:color w:val="auto"/>
          <w:lang w:val="en-US" w:eastAsia="zh-CN"/>
        </w:rPr>
        <w:t>。</w:t>
      </w:r>
      <w:r>
        <w:rPr>
          <w:rFonts w:hint="eastAsia" w:cs="仿宋_GB2312"/>
          <w:b/>
          <w:bCs w:val="0"/>
          <w:color w:val="auto"/>
          <w:sz w:val="32"/>
          <w:szCs w:val="32"/>
          <w:highlight w:val="none"/>
          <w:lang w:val="en-US" w:eastAsia="zh-CN"/>
        </w:rPr>
        <w:t>二是推进国有“三资”清查处置与管理改革。</w:t>
      </w:r>
      <w:r>
        <w:rPr>
          <w:rFonts w:hint="eastAsia" w:cs="仿宋_GB2312"/>
          <w:b w:val="0"/>
          <w:bCs/>
          <w:color w:val="auto"/>
          <w:sz w:val="32"/>
          <w:szCs w:val="32"/>
          <w:highlight w:val="none"/>
          <w:lang w:val="en-US" w:eastAsia="zh-CN"/>
        </w:rPr>
        <w:t>制定出台《景德镇市国有“三资”清查处置与管理改革方案》和《市本级国有“三资”清查处置与管理改革工作方案》，</w:t>
      </w:r>
      <w:r>
        <w:rPr>
          <w:rFonts w:hint="default" w:ascii="仿宋_GB2312" w:hAnsi="仿宋_GB2312" w:eastAsia="仿宋_GB2312" w:cs="仿宋_GB2312"/>
          <w:color w:val="auto"/>
          <w:kern w:val="2"/>
          <w:sz w:val="32"/>
          <w:szCs w:val="32"/>
          <w:highlight w:val="none"/>
          <w:lang w:val="en-US" w:eastAsia="zh-CN" w:bidi="ar-SA"/>
        </w:rPr>
        <w:t>初步形成</w:t>
      </w:r>
      <w:r>
        <w:rPr>
          <w:rFonts w:hint="eastAsia" w:cs="仿宋_GB2312"/>
          <w:color w:val="auto"/>
          <w:kern w:val="2"/>
          <w:sz w:val="32"/>
          <w:szCs w:val="32"/>
          <w:highlight w:val="none"/>
          <w:lang w:val="en-US" w:eastAsia="zh-CN" w:bidi="ar-SA"/>
        </w:rPr>
        <w:t>了</w:t>
      </w:r>
      <w:r>
        <w:rPr>
          <w:rFonts w:hint="default" w:ascii="仿宋_GB2312" w:hAnsi="仿宋_GB2312" w:eastAsia="仿宋_GB2312" w:cs="仿宋_GB2312"/>
          <w:color w:val="auto"/>
          <w:kern w:val="2"/>
          <w:sz w:val="32"/>
          <w:szCs w:val="32"/>
          <w:highlight w:val="none"/>
          <w:lang w:val="en-US" w:eastAsia="zh-CN" w:bidi="ar-SA"/>
        </w:rPr>
        <w:t>2025年度首批可盘活国有“三资”重点项目清单</w:t>
      </w:r>
      <w:r>
        <w:rPr>
          <w:rFonts w:hint="eastAsia"/>
          <w:color w:val="auto"/>
          <w:highlight w:val="none"/>
          <w:lang w:val="en-US" w:eastAsia="zh-CN"/>
        </w:rPr>
        <w:t>。</w:t>
      </w:r>
      <w:r>
        <w:rPr>
          <w:rFonts w:hint="eastAsia" w:cs="仿宋_GB2312"/>
          <w:b/>
          <w:bCs w:val="0"/>
          <w:color w:val="auto"/>
          <w:sz w:val="32"/>
          <w:szCs w:val="32"/>
          <w:highlight w:val="none"/>
          <w:lang w:val="en-US" w:eastAsia="zh-CN"/>
        </w:rPr>
        <w:t>三是精准厘清支出事权。</w:t>
      </w:r>
      <w:r>
        <w:rPr>
          <w:rFonts w:hint="eastAsia" w:cs="仿宋_GB2312"/>
          <w:b w:val="0"/>
          <w:bCs w:val="0"/>
          <w:color w:val="auto"/>
          <w:lang w:val="en-US" w:eastAsia="zh-CN"/>
        </w:rPr>
        <w:t>全面实施重点项目专项审计，精准“把脉”中心城区道路养护、污水处理等项目成本，科学界定支出边界与保障标准。完成路灯管养经费分区明细测算，明确以道路养护范围定权责。系统规范中央和省驻市单位经费预算管理，实现经费安排拨付“一盘棋”。</w:t>
      </w:r>
    </w:p>
    <w:p w14:paraId="2BC9FB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val="0"/>
          <w:color w:val="auto"/>
          <w:sz w:val="32"/>
          <w:szCs w:val="32"/>
          <w:highlight w:val="none"/>
          <w:lang w:val="en-US" w:eastAsia="zh-CN"/>
        </w:rPr>
        <w:t>（四）守住安全底线，持续加强财政领域风险管理。</w:t>
      </w:r>
      <w:r>
        <w:rPr>
          <w:rFonts w:hint="eastAsia" w:ascii="仿宋_GB2312" w:hAnsi="仿宋_GB2312" w:eastAsia="仿宋_GB2312" w:cs="仿宋_GB2312"/>
          <w:b/>
          <w:bCs/>
          <w:color w:val="auto"/>
          <w:sz w:val="32"/>
          <w:szCs w:val="32"/>
          <w:highlight w:val="none"/>
          <w:lang w:val="en-US" w:eastAsia="zh-CN"/>
        </w:rPr>
        <w:t>一是</w:t>
      </w:r>
      <w:r>
        <w:rPr>
          <w:rFonts w:hint="eastAsia" w:cs="仿宋_GB2312"/>
          <w:b/>
          <w:bCs/>
          <w:color w:val="auto"/>
          <w:sz w:val="32"/>
          <w:szCs w:val="32"/>
          <w:highlight w:val="none"/>
          <w:lang w:val="en-US" w:eastAsia="zh-CN"/>
        </w:rPr>
        <w:t>防范</w:t>
      </w:r>
      <w:r>
        <w:rPr>
          <w:rFonts w:hint="eastAsia" w:ascii="仿宋_GB2312" w:hAnsi="仿宋_GB2312" w:eastAsia="仿宋_GB2312" w:cs="仿宋_GB2312"/>
          <w:b/>
          <w:bCs/>
          <w:color w:val="auto"/>
          <w:sz w:val="32"/>
          <w:szCs w:val="32"/>
          <w:highlight w:val="none"/>
          <w:lang w:val="en-US" w:eastAsia="zh-CN"/>
        </w:rPr>
        <w:t>债务风险。</w:t>
      </w:r>
      <w:r>
        <w:rPr>
          <w:rFonts w:hint="eastAsia" w:ascii="仿宋_GB2312" w:hAnsi="仿宋_GB2312" w:eastAsia="仿宋_GB2312" w:cs="仿宋_GB2312"/>
          <w:color w:val="auto"/>
          <w:sz w:val="32"/>
          <w:szCs w:val="32"/>
          <w:highlight w:val="none"/>
          <w:lang w:val="en-US" w:eastAsia="zh-CN"/>
        </w:rPr>
        <w:t>严格执行政府债务限额管理制度，坚决遏制隐性债务增量</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化解存量</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稳定债务规模</w:t>
      </w:r>
      <w:r>
        <w:rPr>
          <w:rFonts w:hint="eastAsia" w:cs="仿宋_GB2312"/>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二是防范库款风险。</w:t>
      </w:r>
      <w:r>
        <w:rPr>
          <w:rFonts w:hint="eastAsia" w:ascii="仿宋_GB2312" w:hAnsi="仿宋_GB2312" w:eastAsia="仿宋_GB2312" w:cs="仿宋_GB2312"/>
          <w:color w:val="auto"/>
          <w:sz w:val="32"/>
          <w:szCs w:val="32"/>
          <w:highlight w:val="none"/>
          <w:lang w:val="en-US" w:eastAsia="zh-CN"/>
        </w:rPr>
        <w:t>落实国库集中支付制度，做好民生类资金和日常的资金</w:t>
      </w:r>
      <w:r>
        <w:rPr>
          <w:rFonts w:hint="eastAsia" w:cs="仿宋_GB2312"/>
          <w:color w:val="auto"/>
          <w:sz w:val="32"/>
          <w:szCs w:val="32"/>
          <w:highlight w:val="none"/>
          <w:lang w:val="en-US" w:eastAsia="zh-CN"/>
        </w:rPr>
        <w:t>预警和</w:t>
      </w:r>
      <w:r>
        <w:rPr>
          <w:rFonts w:hint="eastAsia" w:ascii="仿宋_GB2312" w:hAnsi="仿宋_GB2312" w:eastAsia="仿宋_GB2312" w:cs="仿宋_GB2312"/>
          <w:color w:val="auto"/>
          <w:sz w:val="32"/>
          <w:szCs w:val="32"/>
          <w:highlight w:val="none"/>
          <w:lang w:val="en-US" w:eastAsia="zh-CN"/>
        </w:rPr>
        <w:t>调度工作，</w:t>
      </w:r>
      <w:r>
        <w:rPr>
          <w:rFonts w:hint="eastAsia" w:cs="仿宋_GB2312"/>
          <w:color w:val="auto"/>
          <w:sz w:val="32"/>
          <w:szCs w:val="32"/>
          <w:highlight w:val="none"/>
          <w:lang w:val="en-US" w:eastAsia="zh-CN"/>
        </w:rPr>
        <w:t>兜牢</w:t>
      </w:r>
      <w:r>
        <w:rPr>
          <w:rFonts w:hint="eastAsia" w:ascii="仿宋_GB2312" w:hAnsi="仿宋_GB2312" w:eastAsia="仿宋_GB2312" w:cs="仿宋_GB2312"/>
          <w:color w:val="auto"/>
          <w:sz w:val="32"/>
          <w:szCs w:val="32"/>
          <w:highlight w:val="none"/>
          <w:lang w:val="en-US" w:eastAsia="zh-CN"/>
        </w:rPr>
        <w:t>基层“三保”。截至6月底，全市各级财政库款余额均在合理范围内。</w:t>
      </w:r>
      <w:r>
        <w:rPr>
          <w:rFonts w:hint="eastAsia" w:ascii="仿宋_GB2312" w:hAnsi="仿宋_GB2312" w:eastAsia="仿宋_GB2312" w:cs="仿宋_GB2312"/>
          <w:b/>
          <w:bCs/>
          <w:color w:val="auto"/>
          <w:sz w:val="32"/>
          <w:szCs w:val="32"/>
          <w:highlight w:val="none"/>
          <w:lang w:val="en-US" w:eastAsia="zh-CN"/>
        </w:rPr>
        <w:t>三是防范平台风险。</w:t>
      </w:r>
      <w:r>
        <w:rPr>
          <w:rFonts w:hint="eastAsia" w:cs="仿宋_GB2312"/>
          <w:color w:val="auto"/>
          <w:sz w:val="32"/>
          <w:szCs w:val="32"/>
          <w:highlight w:val="none"/>
          <w:lang w:val="en-US" w:eastAsia="zh-CN"/>
        </w:rPr>
        <w:t>严防</w:t>
      </w:r>
      <w:r>
        <w:rPr>
          <w:rFonts w:hint="eastAsia" w:ascii="仿宋_GB2312" w:hAnsi="仿宋_GB2312" w:eastAsia="仿宋_GB2312" w:cs="仿宋_GB2312"/>
          <w:color w:val="auto"/>
          <w:sz w:val="32"/>
          <w:szCs w:val="32"/>
          <w:highlight w:val="none"/>
          <w:lang w:val="en-US" w:eastAsia="zh-CN"/>
        </w:rPr>
        <w:t>平台关联风险，压降融资平台数量3家，截至6月</w:t>
      </w:r>
      <w:r>
        <w:rPr>
          <w:rFonts w:hint="eastAsia" w:cs="仿宋_GB2312"/>
          <w:color w:val="auto"/>
          <w:sz w:val="32"/>
          <w:szCs w:val="32"/>
          <w:highlight w:val="none"/>
          <w:lang w:val="en-US" w:eastAsia="zh-CN"/>
        </w:rPr>
        <w:t>底</w:t>
      </w:r>
      <w:r>
        <w:rPr>
          <w:rFonts w:hint="eastAsia" w:ascii="仿宋_GB2312" w:hAnsi="仿宋_GB2312" w:eastAsia="仿宋_GB2312" w:cs="仿宋_GB2312"/>
          <w:color w:val="auto"/>
          <w:sz w:val="32"/>
          <w:szCs w:val="32"/>
          <w:highlight w:val="none"/>
          <w:lang w:val="en-US" w:eastAsia="zh-CN"/>
        </w:rPr>
        <w:t>，在监测平台系统内已将融资平台符合置换要求的存量隐债全部化解完毕。</w:t>
      </w:r>
    </w:p>
    <w:p w14:paraId="49D28E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val="0"/>
          <w:color w:val="auto"/>
          <w:sz w:val="32"/>
          <w:szCs w:val="32"/>
          <w:highlight w:val="none"/>
          <w:lang w:val="en-US" w:eastAsia="zh-CN"/>
        </w:rPr>
        <w:t>（五）坚持量力而行，在发展中保障基本民生需要。</w:t>
      </w:r>
      <w:r>
        <w:rPr>
          <w:rFonts w:hint="eastAsia" w:ascii="仿宋_GB2312" w:hAnsi="仿宋_GB2312" w:eastAsia="仿宋_GB2312" w:cs="仿宋_GB2312"/>
          <w:b/>
          <w:bCs/>
          <w:color w:val="auto"/>
          <w:sz w:val="32"/>
          <w:szCs w:val="32"/>
          <w:highlight w:val="none"/>
          <w:lang w:val="en-US" w:eastAsia="zh-CN"/>
        </w:rPr>
        <w:t>一是努力提升社会保障水平。</w:t>
      </w:r>
      <w:r>
        <w:rPr>
          <w:rFonts w:hint="eastAsia" w:ascii="仿宋_GB2312" w:hAnsi="仿宋_GB2312" w:eastAsia="仿宋_GB2312" w:cs="仿宋_GB2312"/>
          <w:b w:val="0"/>
          <w:bCs w:val="0"/>
          <w:color w:val="auto"/>
          <w:sz w:val="32"/>
          <w:szCs w:val="32"/>
          <w:highlight w:val="none"/>
          <w:lang w:val="en-US" w:eastAsia="zh-CN"/>
        </w:rPr>
        <w:t>全</w:t>
      </w:r>
      <w:r>
        <w:rPr>
          <w:rFonts w:hint="eastAsia" w:cs="仿宋_GB2312"/>
          <w:b w:val="0"/>
          <w:bCs w:val="0"/>
          <w:color w:val="auto"/>
          <w:sz w:val="32"/>
          <w:szCs w:val="32"/>
          <w:highlight w:val="none"/>
          <w:lang w:val="en-US" w:eastAsia="zh-CN"/>
        </w:rPr>
        <w:t>市</w:t>
      </w:r>
      <w:r>
        <w:rPr>
          <w:rFonts w:hint="eastAsia"/>
          <w:lang w:eastAsia="zh-CN"/>
        </w:rPr>
        <w:t>民生支出完成79.74亿元，占一般公共预算支出比重为76.9%，同比上升了1.4个百分点。</w:t>
      </w:r>
      <w:r>
        <w:rPr>
          <w:rFonts w:hint="eastAsia" w:cs="仿宋_GB2312"/>
          <w:b w:val="0"/>
          <w:bCs w:val="0"/>
          <w:color w:val="auto"/>
          <w:sz w:val="32"/>
          <w:szCs w:val="32"/>
          <w:highlight w:val="none"/>
          <w:lang w:val="en-US" w:eastAsia="zh-CN"/>
        </w:rPr>
        <w:t>累计拨付购房补贴1.8亿余元，惠及1.3万户</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color w:val="auto"/>
          <w:sz w:val="32"/>
          <w:szCs w:val="32"/>
          <w:highlight w:val="none"/>
          <w:lang w:val="en-US" w:eastAsia="zh-CN"/>
        </w:rPr>
        <w:t>发放创业担保贷款3.81亿元。</w:t>
      </w:r>
      <w:r>
        <w:rPr>
          <w:rFonts w:hint="eastAsia" w:ascii="仿宋_GB2312" w:hAnsi="仿宋_GB2312" w:eastAsia="仿宋_GB2312" w:cs="仿宋_GB2312"/>
          <w:b/>
          <w:bCs/>
          <w:color w:val="auto"/>
          <w:sz w:val="32"/>
          <w:szCs w:val="32"/>
          <w:highlight w:val="none"/>
          <w:lang w:val="en-US" w:eastAsia="zh-CN"/>
        </w:rPr>
        <w:t>二是</w:t>
      </w:r>
      <w:r>
        <w:rPr>
          <w:rFonts w:hint="eastAsia" w:cs="仿宋_GB2312"/>
          <w:b/>
          <w:bCs/>
          <w:color w:val="auto"/>
          <w:sz w:val="32"/>
          <w:szCs w:val="32"/>
          <w:highlight w:val="none"/>
          <w:lang w:val="en-US" w:eastAsia="zh-CN"/>
        </w:rPr>
        <w:t>支持</w:t>
      </w:r>
      <w:r>
        <w:rPr>
          <w:rFonts w:hint="eastAsia" w:ascii="仿宋_GB2312" w:hAnsi="仿宋_GB2312" w:eastAsia="仿宋_GB2312" w:cs="仿宋_GB2312"/>
          <w:b/>
          <w:bCs/>
          <w:color w:val="auto"/>
          <w:sz w:val="32"/>
          <w:szCs w:val="32"/>
          <w:highlight w:val="none"/>
          <w:lang w:val="en-US" w:eastAsia="zh-CN"/>
        </w:rPr>
        <w:t>乡村振兴</w:t>
      </w:r>
      <w:r>
        <w:rPr>
          <w:rFonts w:hint="eastAsia" w:cs="仿宋_GB2312"/>
          <w:b/>
          <w:bCs/>
          <w:color w:val="auto"/>
          <w:sz w:val="32"/>
          <w:szCs w:val="32"/>
          <w:highlight w:val="none"/>
          <w:lang w:val="en-US" w:eastAsia="zh-CN"/>
        </w:rPr>
        <w:t>保障粮食安全</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财政更大力度向“三农”倾斜，</w:t>
      </w:r>
      <w:r>
        <w:rPr>
          <w:rFonts w:hint="eastAsia" w:cs="仿宋_GB2312"/>
          <w:color w:val="auto"/>
          <w:sz w:val="32"/>
          <w:szCs w:val="32"/>
          <w:highlight w:val="none"/>
          <w:lang w:val="en-US" w:eastAsia="zh-CN"/>
        </w:rPr>
        <w:t>市本级</w:t>
      </w:r>
      <w:r>
        <w:rPr>
          <w:rFonts w:hint="eastAsia" w:ascii="仿宋_GB2312" w:hAnsi="仿宋_GB2312" w:eastAsia="仿宋_GB2312" w:cs="仿宋_GB2312"/>
          <w:color w:val="auto"/>
          <w:sz w:val="32"/>
          <w:szCs w:val="32"/>
          <w:highlight w:val="none"/>
          <w:lang w:val="en-US" w:eastAsia="zh-CN"/>
        </w:rPr>
        <w:t>农林水事务支出</w:t>
      </w:r>
      <w:r>
        <w:rPr>
          <w:rFonts w:hint="eastAsia" w:cs="仿宋_GB2312"/>
          <w:color w:val="auto"/>
          <w:sz w:val="32"/>
          <w:szCs w:val="32"/>
          <w:highlight w:val="none"/>
          <w:lang w:val="en-US" w:eastAsia="zh-CN"/>
        </w:rPr>
        <w:t>9797万</w:t>
      </w:r>
      <w:r>
        <w:rPr>
          <w:rFonts w:hint="eastAsia" w:ascii="仿宋_GB2312" w:hAnsi="仿宋_GB2312" w:eastAsia="仿宋_GB2312" w:cs="仿宋_GB2312"/>
          <w:color w:val="auto"/>
          <w:sz w:val="32"/>
          <w:szCs w:val="32"/>
          <w:highlight w:val="none"/>
          <w:lang w:val="en-US" w:eastAsia="zh-CN"/>
        </w:rPr>
        <w:t>元</w:t>
      </w:r>
      <w:r>
        <w:rPr>
          <w:rFonts w:hint="eastAsia" w:cs="仿宋_GB2312"/>
          <w:color w:val="auto"/>
          <w:sz w:val="32"/>
          <w:szCs w:val="32"/>
          <w:highlight w:val="none"/>
          <w:lang w:val="en-US" w:eastAsia="zh-CN"/>
        </w:rPr>
        <w:t>，增长14.6%</w:t>
      </w:r>
      <w:r>
        <w:rPr>
          <w:rFonts w:hint="eastAsia" w:ascii="仿宋_GB2312" w:hAnsi="仿宋_GB2312" w:eastAsia="仿宋_GB2312" w:cs="仿宋_GB2312"/>
          <w:color w:val="auto"/>
          <w:sz w:val="32"/>
          <w:szCs w:val="32"/>
          <w:highlight w:val="none"/>
          <w:lang w:val="en-US" w:eastAsia="zh-CN"/>
        </w:rPr>
        <w:t>。乡村振兴补助资金1.4亿元，重点用于巩固拓展脱贫攻坚成果，推进乡村产业振兴。支持保障粮食安全</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及时下达中央耕地地力保护补贴资金1.21亿元。</w:t>
      </w:r>
      <w:r>
        <w:rPr>
          <w:rFonts w:hint="eastAsia" w:ascii="仿宋_GB2312" w:hAnsi="仿宋_GB2312" w:eastAsia="仿宋_GB2312" w:cs="仿宋_GB2312"/>
          <w:b/>
          <w:bCs/>
          <w:color w:val="auto"/>
          <w:sz w:val="32"/>
          <w:szCs w:val="32"/>
          <w:highlight w:val="none"/>
          <w:lang w:val="en-US" w:eastAsia="zh-CN"/>
        </w:rPr>
        <w:t>三是支持科教文卫事业。</w:t>
      </w:r>
      <w:r>
        <w:rPr>
          <w:rFonts w:hint="eastAsia" w:ascii="仿宋_GB2312" w:hAnsi="仿宋_GB2312" w:eastAsia="仿宋_GB2312" w:cs="仿宋_GB2312"/>
          <w:color w:val="auto"/>
          <w:sz w:val="32"/>
          <w:szCs w:val="32"/>
          <w:highlight w:val="none"/>
          <w:lang w:val="en-US" w:eastAsia="zh-CN"/>
        </w:rPr>
        <w:t>全市科教文卫类支出38.26亿元</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推动财政科技支出提质增效。下达公共文化服务体系建设补助资金1099.78万元，支持公共文化服务建设</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其中各级博物馆纪念馆和“三馆一站”免费开放资金498万元。</w:t>
      </w:r>
      <w:r>
        <w:rPr>
          <w:rFonts w:hint="eastAsia" w:ascii="仿宋_GB2312" w:hAnsi="仿宋_GB2312" w:eastAsia="仿宋_GB2312" w:cs="仿宋_GB2312"/>
          <w:b/>
          <w:bCs/>
          <w:color w:val="auto"/>
          <w:sz w:val="32"/>
          <w:szCs w:val="32"/>
          <w:highlight w:val="none"/>
          <w:lang w:val="en-US" w:eastAsia="zh-CN"/>
        </w:rPr>
        <w:t>四是支持申遗工作。</w:t>
      </w:r>
      <w:r>
        <w:rPr>
          <w:rFonts w:hint="eastAsia" w:ascii="仿宋_GB2312" w:hAnsi="仿宋_GB2312" w:eastAsia="仿宋_GB2312" w:cs="仿宋_GB2312"/>
          <w:color w:val="auto"/>
          <w:sz w:val="32"/>
          <w:szCs w:val="32"/>
          <w:highlight w:val="none"/>
          <w:lang w:val="en-US" w:eastAsia="zh-CN"/>
        </w:rPr>
        <w:t>下达申遗有关资金1.86亿元、国家文物保护资金937.81万元，助力推进景德镇申遗工作。2025年安排申遗工作经费1980万元，用于申遗日常工作的开展；安排世界遗产基金捐款经费2.5</w:t>
      </w:r>
      <w:r>
        <w:rPr>
          <w:rFonts w:hint="eastAsia" w:cs="仿宋_GB2312"/>
          <w:color w:val="auto"/>
          <w:sz w:val="32"/>
          <w:szCs w:val="32"/>
          <w:highlight w:val="none"/>
          <w:lang w:val="en-US" w:eastAsia="zh-CN"/>
        </w:rPr>
        <w:t>万</w:t>
      </w:r>
      <w:r>
        <w:rPr>
          <w:rFonts w:hint="eastAsia" w:ascii="仿宋_GB2312" w:hAnsi="仿宋_GB2312" w:eastAsia="仿宋_GB2312" w:cs="仿宋_GB2312"/>
          <w:color w:val="auto"/>
          <w:sz w:val="32"/>
          <w:szCs w:val="32"/>
          <w:highlight w:val="none"/>
          <w:lang w:val="en-US" w:eastAsia="zh-CN"/>
        </w:rPr>
        <w:t>美元。</w:t>
      </w:r>
    </w:p>
    <w:p w14:paraId="49A2C48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s="仿宋_GB2312"/>
          <w:b w:val="0"/>
          <w:bCs w:val="0"/>
          <w:color w:val="FF0000"/>
          <w:lang w:val="en-US" w:eastAsia="zh-CN"/>
        </w:rPr>
      </w:pPr>
      <w:r>
        <w:rPr>
          <w:rFonts w:hint="eastAsia" w:ascii="楷体_GB2312" w:hAnsi="楷体_GB2312" w:eastAsia="楷体_GB2312" w:cs="楷体_GB2312"/>
          <w:b/>
          <w:bCs w:val="0"/>
          <w:color w:val="auto"/>
          <w:sz w:val="32"/>
          <w:szCs w:val="32"/>
          <w:highlight w:val="none"/>
          <w:lang w:val="en-US" w:eastAsia="zh-CN"/>
        </w:rPr>
        <w:t>（六）强化财会监督，切实提升财政资金使用效能。</w:t>
      </w:r>
      <w:r>
        <w:rPr>
          <w:rFonts w:hint="eastAsia" w:ascii="仿宋_GB2312" w:hAnsi="仿宋_GB2312" w:eastAsia="仿宋_GB2312" w:cs="仿宋_GB2312"/>
          <w:b/>
          <w:bCs/>
          <w:color w:val="auto"/>
          <w:sz w:val="32"/>
          <w:szCs w:val="32"/>
          <w:highlight w:val="none"/>
          <w:lang w:val="en-US" w:eastAsia="zh-CN"/>
        </w:rPr>
        <w:t>一是扎实开展群众身边不正之风和腐败问题集中整治工作。</w:t>
      </w:r>
      <w:r>
        <w:rPr>
          <w:rFonts w:hint="eastAsia" w:ascii="仿宋_GB2312" w:hAnsi="仿宋_GB2312" w:eastAsia="仿宋_GB2312" w:cs="仿宋_GB2312"/>
          <w:color w:val="auto"/>
          <w:sz w:val="32"/>
          <w:szCs w:val="32"/>
          <w:highlight w:val="none"/>
          <w:lang w:val="en-US" w:eastAsia="zh-CN"/>
        </w:rPr>
        <w:t>稳步推进“村党组织书记、村民委员会主任工资发放问题”民生实事工作，已完成整改金额601.27万元，全市村党组织书记、村民委员会主任报酬全部达标。</w:t>
      </w:r>
      <w:r>
        <w:rPr>
          <w:rFonts w:hint="eastAsia" w:ascii="仿宋_GB2312" w:hAnsi="仿宋_GB2312" w:eastAsia="仿宋_GB2312" w:cs="仿宋_GB2312"/>
          <w:b/>
          <w:bCs/>
          <w:color w:val="auto"/>
          <w:sz w:val="32"/>
          <w:szCs w:val="32"/>
          <w:highlight w:val="none"/>
          <w:lang w:val="en-US" w:eastAsia="zh-CN"/>
        </w:rPr>
        <w:t>二是扎实开展违规套取资金专项整治工作。</w:t>
      </w:r>
      <w:r>
        <w:rPr>
          <w:rFonts w:hint="eastAsia" w:ascii="仿宋_GB2312" w:hAnsi="仿宋_GB2312" w:eastAsia="仿宋_GB2312" w:cs="仿宋_GB2312"/>
          <w:color w:val="auto"/>
          <w:sz w:val="32"/>
          <w:szCs w:val="32"/>
          <w:highlight w:val="none"/>
          <w:lang w:val="en-US" w:eastAsia="zh-CN"/>
        </w:rPr>
        <w:t>截至目前，违规套取资金问题专项整治共发现问题19214个，涉及违规资金3.86亿元，移送问题线索49条，下发整改通知书255份，已收回违规资金2088.78万元。</w:t>
      </w:r>
      <w:r>
        <w:rPr>
          <w:rFonts w:hint="eastAsia" w:ascii="仿宋_GB2312" w:hAnsi="仿宋_GB2312" w:eastAsia="仿宋_GB2312" w:cs="仿宋_GB2312"/>
          <w:b/>
          <w:bCs/>
          <w:color w:val="auto"/>
          <w:sz w:val="32"/>
          <w:szCs w:val="32"/>
          <w:highlight w:val="none"/>
          <w:lang w:val="en-US" w:eastAsia="zh-CN"/>
        </w:rPr>
        <w:t>三是强化预算绩效和投资评审管理。</w:t>
      </w:r>
      <w:r>
        <w:rPr>
          <w:rFonts w:hint="eastAsia" w:ascii="仿宋_GB2312" w:hAnsi="仿宋_GB2312" w:eastAsia="仿宋_GB2312" w:cs="仿宋_GB2312"/>
          <w:color w:val="auto"/>
          <w:sz w:val="32"/>
          <w:szCs w:val="32"/>
          <w:highlight w:val="none"/>
          <w:lang w:val="en-US" w:eastAsia="zh-CN"/>
        </w:rPr>
        <w:t>深化成本预算绩效评价，完成7个项目评价工作，核减支出约1938万元，显著提升成本管控力与性价比。完成市消防应急救援指挥中心等重点工程项目评审7个，报送评审金额4.13亿元，定审金额3.24亿元，审减0.89亿元，审减率21.54%，有效提升了财政资金使用效能。</w:t>
      </w:r>
    </w:p>
    <w:p w14:paraId="0B0F42BB">
      <w:pPr>
        <w:pStyle w:val="20"/>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黑体" w:hAnsi="黑体" w:eastAsia="黑体" w:cs="黑体"/>
          <w:color w:val="auto"/>
          <w:kern w:val="2"/>
          <w:sz w:val="32"/>
          <w:szCs w:val="32"/>
          <w:lang w:val="en-US" w:eastAsia="zh-CN" w:bidi="ar-SA"/>
        </w:rPr>
      </w:pPr>
      <w:r>
        <w:rPr>
          <w:rFonts w:hint="eastAsia" w:cs="黑体"/>
          <w:color w:val="auto"/>
          <w:kern w:val="2"/>
          <w:sz w:val="32"/>
          <w:szCs w:val="32"/>
          <w:lang w:val="en-US" w:eastAsia="zh-CN" w:bidi="ar-SA"/>
        </w:rPr>
        <w:t>三</w:t>
      </w:r>
      <w:r>
        <w:rPr>
          <w:rFonts w:hint="eastAsia" w:ascii="黑体" w:hAnsi="黑体" w:eastAsia="黑体" w:cs="黑体"/>
          <w:color w:val="auto"/>
          <w:kern w:val="2"/>
          <w:sz w:val="32"/>
          <w:szCs w:val="32"/>
          <w:lang w:val="en-US" w:eastAsia="zh-CN" w:bidi="ar-SA"/>
        </w:rPr>
        <w:t>、</w:t>
      </w:r>
      <w:r>
        <w:rPr>
          <w:rFonts w:hint="eastAsia" w:ascii="黑体" w:hAnsi="黑体" w:eastAsia="黑体" w:cs="黑体"/>
          <w:color w:val="auto"/>
          <w:kern w:val="2"/>
          <w:sz w:val="32"/>
          <w:szCs w:val="32"/>
          <w:lang w:val="zh-CN" w:eastAsia="zh-CN" w:bidi="ar-SA"/>
        </w:rPr>
        <w:t>下半年工作计划</w:t>
      </w:r>
    </w:p>
    <w:p w14:paraId="399DEE6E">
      <w:pPr>
        <w:pStyle w:val="20"/>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PMingLiU" w:cs="仿宋_GB2312"/>
          <w:sz w:val="32"/>
          <w:szCs w:val="32"/>
        </w:rPr>
      </w:pPr>
      <w:r>
        <w:rPr>
          <w:rFonts w:hint="eastAsia" w:ascii="楷体_GB2312" w:hAnsi="楷体_GB2312" w:eastAsia="楷体_GB2312" w:cs="楷体_GB2312"/>
          <w:b/>
          <w:bCs/>
          <w:sz w:val="32"/>
          <w:szCs w:val="32"/>
          <w:lang w:eastAsia="zh-CN"/>
        </w:rPr>
        <w:t>一是</w:t>
      </w:r>
      <w:r>
        <w:rPr>
          <w:rFonts w:hint="eastAsia" w:ascii="楷体_GB2312" w:hAnsi="楷体_GB2312" w:eastAsia="楷体_GB2312" w:cs="楷体_GB2312"/>
          <w:b/>
          <w:bCs/>
          <w:sz w:val="32"/>
          <w:szCs w:val="32"/>
        </w:rPr>
        <w:t>全力以赴抓好</w:t>
      </w:r>
      <w:r>
        <w:rPr>
          <w:rFonts w:hint="eastAsia" w:ascii="楷体_GB2312" w:hAnsi="楷体_GB2312" w:eastAsia="楷体_GB2312" w:cs="楷体_GB2312"/>
          <w:b/>
          <w:bCs/>
          <w:sz w:val="32"/>
          <w:szCs w:val="32"/>
          <w:lang w:eastAsia="zh-CN"/>
        </w:rPr>
        <w:t>财政</w:t>
      </w:r>
      <w:r>
        <w:rPr>
          <w:rFonts w:hint="eastAsia" w:ascii="楷体_GB2312" w:hAnsi="楷体_GB2312" w:eastAsia="楷体_GB2312" w:cs="楷体_GB2312"/>
          <w:b/>
          <w:bCs/>
          <w:sz w:val="32"/>
          <w:szCs w:val="32"/>
        </w:rPr>
        <w:t>收支工作</w:t>
      </w:r>
      <w:r>
        <w:rPr>
          <w:rFonts w:ascii="楷体_GB2312" w:hAnsi="楷体_GB2312" w:eastAsia="楷体_GB2312" w:cs="楷体_GB2312"/>
          <w:b/>
          <w:bCs/>
          <w:sz w:val="32"/>
          <w:szCs w:val="32"/>
        </w:rPr>
        <w:t>。</w:t>
      </w:r>
      <w:r>
        <w:rPr>
          <w:rFonts w:ascii="仿宋_GB2312" w:hAnsi="仿宋_GB2312" w:eastAsia="仿宋_GB2312" w:cs="仿宋_GB2312"/>
          <w:sz w:val="32"/>
          <w:szCs w:val="32"/>
        </w:rPr>
        <w:t>按月调度预算收入</w:t>
      </w:r>
      <w:r>
        <w:rPr>
          <w:rFonts w:hint="eastAsia" w:ascii="仿宋_GB2312" w:hAnsi="仿宋_GB2312" w:eastAsia="仿宋_GB2312" w:cs="仿宋_GB2312"/>
          <w:sz w:val="32"/>
          <w:szCs w:val="32"/>
          <w:lang w:eastAsia="zh-CN"/>
        </w:rPr>
        <w:t>，确保</w:t>
      </w:r>
      <w:r>
        <w:rPr>
          <w:rFonts w:ascii="仿宋_GB2312" w:hAnsi="仿宋_GB2312" w:eastAsia="仿宋_GB2312" w:cs="仿宋_GB2312"/>
          <w:sz w:val="32"/>
          <w:szCs w:val="32"/>
        </w:rPr>
        <w:t>预算收入及时足额征管到位。强化对预算执行情况的分析，</w:t>
      </w:r>
      <w:r>
        <w:rPr>
          <w:rFonts w:hint="eastAsia" w:ascii="仿宋_GB2312" w:hAnsi="仿宋_GB2312" w:eastAsia="仿宋_GB2312" w:cs="仿宋_GB2312"/>
          <w:sz w:val="32"/>
          <w:szCs w:val="32"/>
          <w:lang w:val="en-US" w:eastAsia="zh-CN"/>
        </w:rPr>
        <w:t>积极挖潜增收，落实《景德镇市重点行业税源大摸排工作方案》。继续做好“三资”盘活工作，推动专项债受益尽快入库，努力形成更多可用财力。</w:t>
      </w:r>
    </w:p>
    <w:p w14:paraId="56D34D47">
      <w:pPr>
        <w:pStyle w:val="20"/>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二是驰而不息</w:t>
      </w:r>
      <w:r>
        <w:rPr>
          <w:rFonts w:hint="eastAsia" w:ascii="楷体_GB2312" w:hAnsi="楷体_GB2312" w:eastAsia="楷体_GB2312" w:cs="楷体_GB2312"/>
          <w:b/>
          <w:bCs/>
          <w:sz w:val="32"/>
          <w:szCs w:val="32"/>
        </w:rPr>
        <w:t>深化财政体制改革。</w:t>
      </w:r>
      <w:r>
        <w:rPr>
          <w:rFonts w:hint="eastAsia" w:ascii="仿宋_GB2312" w:hAnsi="仿宋_GB2312" w:eastAsia="仿宋_GB2312" w:cs="仿宋_GB2312"/>
          <w:sz w:val="32"/>
          <w:szCs w:val="32"/>
          <w:lang w:eastAsia="zh-CN"/>
        </w:rPr>
        <w:t>纵深推进</w:t>
      </w:r>
      <w:r>
        <w:rPr>
          <w:rFonts w:hint="eastAsia" w:ascii="仿宋_GB2312" w:hAnsi="仿宋_GB2312" w:eastAsia="仿宋_GB2312" w:cs="仿宋_GB2312"/>
          <w:sz w:val="32"/>
          <w:szCs w:val="32"/>
        </w:rPr>
        <w:t>零基预算</w:t>
      </w:r>
      <w:r>
        <w:rPr>
          <w:rFonts w:hint="eastAsia" w:ascii="仿宋_GB2312" w:hAnsi="仿宋_GB2312" w:eastAsia="仿宋_GB2312" w:cs="仿宋_GB2312"/>
          <w:sz w:val="32"/>
          <w:szCs w:val="32"/>
          <w:lang w:eastAsia="zh-CN"/>
        </w:rPr>
        <w:t>改革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资</w:t>
      </w:r>
      <w:r>
        <w:rPr>
          <w:rFonts w:hint="eastAsia" w:ascii="仿宋_GB2312" w:hAnsi="仿宋_GB2312" w:eastAsia="仿宋_GB2312" w:cs="仿宋_GB2312"/>
          <w:sz w:val="32"/>
          <w:szCs w:val="32"/>
          <w:lang w:val="en-US" w:eastAsia="zh-CN"/>
        </w:rPr>
        <w:t>源统筹上再深化，支出标准上再细化</w:t>
      </w:r>
      <w:r>
        <w:rPr>
          <w:rFonts w:hint="eastAsia" w:ascii="仿宋_GB2312" w:hAnsi="仿宋_GB2312" w:eastAsia="仿宋_GB2312" w:cs="仿宋_GB2312"/>
          <w:sz w:val="32"/>
          <w:szCs w:val="32"/>
          <w:lang w:eastAsia="zh-CN"/>
        </w:rPr>
        <w:t>，提高预算编制精准性和有效性。</w:t>
      </w:r>
      <w:r>
        <w:rPr>
          <w:rFonts w:ascii="仿宋_GB2312" w:hAnsi="仿宋_GB2312" w:eastAsia="仿宋_GB2312" w:cs="仿宋_GB2312"/>
          <w:sz w:val="32"/>
          <w:szCs w:val="32"/>
        </w:rPr>
        <w:t>深化</w:t>
      </w:r>
      <w:r>
        <w:rPr>
          <w:rFonts w:hint="eastAsia" w:ascii="仿宋_GB2312" w:hAnsi="仿宋_GB2312" w:eastAsia="仿宋_GB2312" w:cs="仿宋_GB2312"/>
          <w:sz w:val="32"/>
          <w:szCs w:val="32"/>
          <w:lang w:eastAsia="zh-CN"/>
        </w:rPr>
        <w:t>有关领域</w:t>
      </w:r>
      <w:r>
        <w:rPr>
          <w:rFonts w:ascii="仿宋_GB2312" w:hAnsi="仿宋_GB2312" w:eastAsia="仿宋_GB2312" w:cs="仿宋_GB2312"/>
          <w:sz w:val="32"/>
          <w:szCs w:val="32"/>
        </w:rPr>
        <w:t>财政事权与支出责任划分改革，</w:t>
      </w:r>
      <w:r>
        <w:rPr>
          <w:rFonts w:hint="eastAsia" w:ascii="仿宋_GB2312" w:hAnsi="仿宋_GB2312" w:eastAsia="仿宋_GB2312" w:cs="仿宋_GB2312"/>
          <w:sz w:val="32"/>
          <w:szCs w:val="32"/>
          <w:lang w:eastAsia="zh-CN"/>
        </w:rPr>
        <w:t>推动市、县两级财政体制管理更趋科学合理</w:t>
      </w:r>
      <w:r>
        <w:rPr>
          <w:rFonts w:hint="eastAsia" w:ascii="仿宋_GB2312" w:hAnsi="仿宋_GB2312" w:eastAsia="仿宋_GB2312" w:cs="仿宋_GB2312"/>
          <w:sz w:val="32"/>
          <w:szCs w:val="32"/>
        </w:rPr>
        <w:t>。</w:t>
      </w:r>
    </w:p>
    <w:p w14:paraId="039DD71F">
      <w:pPr>
        <w:pStyle w:val="20"/>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2"/>
          <w:sz w:val="32"/>
          <w:szCs w:val="32"/>
          <w:u w:color="000000"/>
          <w:lang w:val="en-US" w:eastAsia="zh-CN" w:bidi="ar-SA"/>
        </w:rPr>
        <w:t>三是持之以恒积极向上争资争项。</w:t>
      </w:r>
      <w:r>
        <w:rPr>
          <w:rFonts w:hint="eastAsia" w:ascii="仿宋_GB2312" w:hAnsi="仿宋_GB2312" w:eastAsia="仿宋_GB2312" w:cs="仿宋_GB2312"/>
          <w:sz w:val="32"/>
          <w:szCs w:val="32"/>
          <w:lang w:val="en-US" w:eastAsia="zh-CN"/>
        </w:rPr>
        <w:t>持续加大“跑部入厅”力度，争取各类资金向我市倾斜，提升“三争”工作质效。认真研究好财政相关资金政策，全力配合牵头主管部门扎实做好竞争性评审项目各项工作。</w:t>
      </w:r>
    </w:p>
    <w:p w14:paraId="6ED51C9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四是一如既往防范化解财政风险。</w:t>
      </w:r>
      <w:r>
        <w:rPr>
          <w:rFonts w:hint="eastAsia" w:ascii="仿宋_GB2312" w:hAnsi="仿宋_GB2312" w:eastAsia="仿宋_GB2312" w:cs="仿宋_GB2312"/>
          <w:sz w:val="32"/>
          <w:szCs w:val="32"/>
        </w:rPr>
        <w:t>精准测算财力，</w:t>
      </w:r>
      <w:r>
        <w:rPr>
          <w:rFonts w:hint="eastAsia" w:ascii="仿宋_GB2312" w:hAnsi="仿宋_GB2312" w:eastAsia="仿宋_GB2312" w:cs="仿宋_GB2312"/>
          <w:sz w:val="32"/>
          <w:szCs w:val="32"/>
          <w:lang w:val="en-US" w:eastAsia="zh-CN"/>
        </w:rPr>
        <w:t>牢固树立过“紧日子”思想，</w:t>
      </w:r>
      <w:r>
        <w:rPr>
          <w:rFonts w:hint="eastAsia" w:ascii="仿宋_GB2312" w:hAnsi="仿宋_GB2312" w:eastAsia="仿宋_GB2312" w:cs="仿宋_GB2312"/>
          <w:sz w:val="32"/>
          <w:szCs w:val="32"/>
        </w:rPr>
        <w:t>兜牢“三保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底线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完成202</w:t>
      </w:r>
      <w:r>
        <w:rPr>
          <w:rFonts w:hint="eastAsia" w:cs="仿宋_GB2312"/>
          <w:sz w:val="32"/>
          <w:szCs w:val="32"/>
          <w:lang w:val="en-US" w:eastAsia="zh-CN"/>
        </w:rPr>
        <w:t>5</w:t>
      </w:r>
      <w:r>
        <w:rPr>
          <w:rFonts w:hint="eastAsia" w:ascii="仿宋_GB2312" w:hAnsi="仿宋_GB2312" w:eastAsia="仿宋_GB2312" w:cs="仿宋_GB2312"/>
          <w:sz w:val="32"/>
          <w:szCs w:val="32"/>
          <w:lang w:val="en-US" w:eastAsia="zh-CN"/>
        </w:rPr>
        <w:t>年年度化债任务，努力降低我市全口径政府债务率，确保不突破红线</w:t>
      </w:r>
      <w:r>
        <w:rPr>
          <w:rFonts w:hint="eastAsia" w:ascii="仿宋_GB2312" w:hAnsi="仿宋_GB2312" w:eastAsia="仿宋_GB2312" w:cs="仿宋_GB2312"/>
          <w:sz w:val="32"/>
          <w:szCs w:val="32"/>
        </w:rPr>
        <w:t>。</w:t>
      </w:r>
    </w:p>
    <w:sectPr>
      <w:footerReference r:id="rId5" w:type="default"/>
      <w:pgSz w:w="11906" w:h="16838"/>
      <w:pgMar w:top="1871" w:right="1474" w:bottom="1871"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3803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D3032">
                          <w:pPr>
                            <w:pStyle w:val="9"/>
                            <w:rPr>
                              <w:rFonts w:hint="eastAsia" w:ascii="仿宋" w:hAnsi="仿宋" w:eastAsia="仿宋" w:cs="仿宋"/>
                              <w:sz w:val="28"/>
                              <w:szCs w:val="44"/>
                            </w:rPr>
                          </w:pPr>
                          <w:r>
                            <w:rPr>
                              <w:rFonts w:hint="eastAsia" w:ascii="仿宋" w:hAnsi="仿宋" w:eastAsia="仿宋" w:cs="仿宋"/>
                              <w:sz w:val="28"/>
                              <w:szCs w:val="44"/>
                            </w:rPr>
                            <w:t xml:space="preserve">— </w:t>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r>
                            <w:rPr>
                              <w:rFonts w:hint="eastAsia" w:ascii="仿宋" w:hAnsi="仿宋" w:eastAsia="仿宋" w:cs="仿宋"/>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0D3032">
                    <w:pPr>
                      <w:pStyle w:val="9"/>
                      <w:rPr>
                        <w:rFonts w:hint="eastAsia" w:ascii="仿宋" w:hAnsi="仿宋" w:eastAsia="仿宋" w:cs="仿宋"/>
                        <w:sz w:val="28"/>
                        <w:szCs w:val="44"/>
                      </w:rPr>
                    </w:pPr>
                    <w:r>
                      <w:rPr>
                        <w:rFonts w:hint="eastAsia" w:ascii="仿宋" w:hAnsi="仿宋" w:eastAsia="仿宋" w:cs="仿宋"/>
                        <w:sz w:val="28"/>
                        <w:szCs w:val="44"/>
                      </w:rPr>
                      <w:t xml:space="preserve">— </w:t>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r>
                      <w:rPr>
                        <w:rFonts w:hint="eastAsia" w:ascii="仿宋" w:hAnsi="仿宋" w:eastAsia="仿宋" w:cs="仿宋"/>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YjkzYmM4NjBkZDIwOGZiM2E2YjIwMTczYTA5ZGMifQ=="/>
  </w:docVars>
  <w:rsids>
    <w:rsidRoot w:val="322E7689"/>
    <w:rsid w:val="005D4603"/>
    <w:rsid w:val="007A6F63"/>
    <w:rsid w:val="026020F9"/>
    <w:rsid w:val="030671D3"/>
    <w:rsid w:val="03112897"/>
    <w:rsid w:val="03303AAE"/>
    <w:rsid w:val="04390C67"/>
    <w:rsid w:val="059903BE"/>
    <w:rsid w:val="06475B39"/>
    <w:rsid w:val="06F3181D"/>
    <w:rsid w:val="079F2B5D"/>
    <w:rsid w:val="083D71F3"/>
    <w:rsid w:val="0A7113D6"/>
    <w:rsid w:val="0AC01458"/>
    <w:rsid w:val="0BEE7496"/>
    <w:rsid w:val="0D9A7C1D"/>
    <w:rsid w:val="0EB80CD6"/>
    <w:rsid w:val="13830FA6"/>
    <w:rsid w:val="14287B04"/>
    <w:rsid w:val="166149F5"/>
    <w:rsid w:val="168D0FB2"/>
    <w:rsid w:val="170A0BE8"/>
    <w:rsid w:val="182B3FD2"/>
    <w:rsid w:val="19AC242B"/>
    <w:rsid w:val="1B0A5FB8"/>
    <w:rsid w:val="1BCA67EA"/>
    <w:rsid w:val="1C730FDE"/>
    <w:rsid w:val="1DAB05C4"/>
    <w:rsid w:val="1F150595"/>
    <w:rsid w:val="1FAD1142"/>
    <w:rsid w:val="21012835"/>
    <w:rsid w:val="2142166C"/>
    <w:rsid w:val="239570C5"/>
    <w:rsid w:val="23E035B4"/>
    <w:rsid w:val="25D76ACA"/>
    <w:rsid w:val="260158AC"/>
    <w:rsid w:val="290057D3"/>
    <w:rsid w:val="2A566E5D"/>
    <w:rsid w:val="2A8B7E3A"/>
    <w:rsid w:val="2AC923B3"/>
    <w:rsid w:val="2AE30A1B"/>
    <w:rsid w:val="2B8F69FC"/>
    <w:rsid w:val="2C4402A1"/>
    <w:rsid w:val="2D522368"/>
    <w:rsid w:val="2E862DF3"/>
    <w:rsid w:val="31CD0D39"/>
    <w:rsid w:val="322E7689"/>
    <w:rsid w:val="327775A4"/>
    <w:rsid w:val="336E3E55"/>
    <w:rsid w:val="35E72435"/>
    <w:rsid w:val="36A4650C"/>
    <w:rsid w:val="370D41E5"/>
    <w:rsid w:val="388C54AA"/>
    <w:rsid w:val="38BF587F"/>
    <w:rsid w:val="38D02FFD"/>
    <w:rsid w:val="397038D4"/>
    <w:rsid w:val="3B1B2D1A"/>
    <w:rsid w:val="3BBD597A"/>
    <w:rsid w:val="3C395BEF"/>
    <w:rsid w:val="3C4C2E7D"/>
    <w:rsid w:val="3CCC5DC6"/>
    <w:rsid w:val="3D423410"/>
    <w:rsid w:val="3D851ED1"/>
    <w:rsid w:val="3F491C06"/>
    <w:rsid w:val="3FDD2155"/>
    <w:rsid w:val="415E1A56"/>
    <w:rsid w:val="43D877F5"/>
    <w:rsid w:val="44351530"/>
    <w:rsid w:val="45732E96"/>
    <w:rsid w:val="46FD5548"/>
    <w:rsid w:val="4799373F"/>
    <w:rsid w:val="47C6205A"/>
    <w:rsid w:val="483F6AC4"/>
    <w:rsid w:val="48A26623"/>
    <w:rsid w:val="4ACF1226"/>
    <w:rsid w:val="4D015507"/>
    <w:rsid w:val="4D1B6B8E"/>
    <w:rsid w:val="4D5D2EA0"/>
    <w:rsid w:val="4E261534"/>
    <w:rsid w:val="4ED31E4A"/>
    <w:rsid w:val="4F6E0759"/>
    <w:rsid w:val="4FD77D85"/>
    <w:rsid w:val="50BD4132"/>
    <w:rsid w:val="51763517"/>
    <w:rsid w:val="526507AC"/>
    <w:rsid w:val="529E039B"/>
    <w:rsid w:val="530449C0"/>
    <w:rsid w:val="538A6632"/>
    <w:rsid w:val="55766E6E"/>
    <w:rsid w:val="56980DA3"/>
    <w:rsid w:val="57E93CB0"/>
    <w:rsid w:val="5B584840"/>
    <w:rsid w:val="5BB24978"/>
    <w:rsid w:val="5BFC3ECB"/>
    <w:rsid w:val="5E7F7D1C"/>
    <w:rsid w:val="5ECE3876"/>
    <w:rsid w:val="5F0C558A"/>
    <w:rsid w:val="5FF5214D"/>
    <w:rsid w:val="60E70C20"/>
    <w:rsid w:val="61E52B68"/>
    <w:rsid w:val="62051CA5"/>
    <w:rsid w:val="63141A74"/>
    <w:rsid w:val="631B52B7"/>
    <w:rsid w:val="641E0C4D"/>
    <w:rsid w:val="64882719"/>
    <w:rsid w:val="65175299"/>
    <w:rsid w:val="65607D06"/>
    <w:rsid w:val="658A6517"/>
    <w:rsid w:val="669C5C74"/>
    <w:rsid w:val="66DE0D17"/>
    <w:rsid w:val="670217A3"/>
    <w:rsid w:val="670C7632"/>
    <w:rsid w:val="672D47DA"/>
    <w:rsid w:val="69670BC7"/>
    <w:rsid w:val="6A831C60"/>
    <w:rsid w:val="6B683166"/>
    <w:rsid w:val="6C3B7BA1"/>
    <w:rsid w:val="6CAE6A95"/>
    <w:rsid w:val="6EED5800"/>
    <w:rsid w:val="6EEF1D13"/>
    <w:rsid w:val="6FCB112D"/>
    <w:rsid w:val="735F6D3B"/>
    <w:rsid w:val="74407A35"/>
    <w:rsid w:val="747879CC"/>
    <w:rsid w:val="75495400"/>
    <w:rsid w:val="757E1F1D"/>
    <w:rsid w:val="77AF70F0"/>
    <w:rsid w:val="79767C4F"/>
    <w:rsid w:val="7A247B21"/>
    <w:rsid w:val="7A911ED0"/>
    <w:rsid w:val="7AD868F2"/>
    <w:rsid w:val="7B130B37"/>
    <w:rsid w:val="7B8940DC"/>
    <w:rsid w:val="7D3C7395"/>
    <w:rsid w:val="7E6D67B0"/>
    <w:rsid w:val="7E757CBF"/>
    <w:rsid w:val="7E8024AF"/>
    <w:rsid w:val="7E9C1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Pr>
      <w:rFonts w:ascii="仿宋_GB2312" w:hAnsi="仿宋_GB2312" w:eastAsia="仿宋_GB2312" w:cs="仿宋_GB2312"/>
      <w:color w:val="000000"/>
      <w:kern w:val="2"/>
      <w:sz w:val="32"/>
      <w:szCs w:val="32"/>
      <w:u w:color="000000"/>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eastAsia="宋体" w:cs="Times New Roman"/>
      <w:szCs w:val="24"/>
    </w:rPr>
  </w:style>
  <w:style w:type="paragraph" w:styleId="4">
    <w:name w:val="annotation text"/>
    <w:basedOn w:val="1"/>
    <w:qFormat/>
    <w:uiPriority w:val="0"/>
    <w:pPr>
      <w:jc w:val="left"/>
    </w:pPr>
  </w:style>
  <w:style w:type="paragraph" w:styleId="5">
    <w:name w:val="Body Text"/>
    <w:basedOn w:val="1"/>
    <w:next w:val="6"/>
    <w:qFormat/>
    <w:uiPriority w:val="99"/>
    <w:rPr>
      <w:b/>
    </w:rPr>
  </w:style>
  <w:style w:type="paragraph" w:styleId="6">
    <w:name w:val="Body Text First Indent"/>
    <w:basedOn w:val="5"/>
    <w:next w:val="1"/>
    <w:qFormat/>
    <w:uiPriority w:val="99"/>
    <w:pPr>
      <w:ind w:firstLine="420" w:firstLineChars="100"/>
    </w:pPr>
  </w:style>
  <w:style w:type="paragraph" w:styleId="7">
    <w:name w:val="Body Text Indent"/>
    <w:basedOn w:val="1"/>
    <w:qFormat/>
    <w:uiPriority w:val="0"/>
    <w:pPr>
      <w:spacing w:line="570" w:lineRule="exact"/>
      <w:ind w:firstLine="616" w:firstLineChars="200"/>
    </w:pPr>
    <w:rPr>
      <w:spacing w:val="-6"/>
    </w:rPr>
  </w:style>
  <w:style w:type="paragraph" w:styleId="8">
    <w:name w:val="toc 5"/>
    <w:basedOn w:val="1"/>
    <w:next w:val="1"/>
    <w:semiHidden/>
    <w:qFormat/>
    <w:uiPriority w:val="99"/>
    <w:pPr>
      <w:ind w:left="1680" w:leftChars="800"/>
    </w:pPr>
    <w:rPr>
      <w:rFonts w:ascii="Times New Roman" w:hAnsi="Times New Roman" w:cs="Times New Roma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7"/>
    <w:qFormat/>
    <w:uiPriority w:val="0"/>
    <w:pPr>
      <w:ind w:left="640" w:leftChars="200"/>
      <w:outlineLvl w:val="0"/>
    </w:pPr>
    <w:rPr>
      <w:rFonts w:ascii="Arial" w:hAnsi="Arial" w:eastAsia="仿宋_GB2312"/>
      <w:b/>
      <w:sz w:val="32"/>
    </w:rPr>
  </w:style>
  <w:style w:type="paragraph" w:styleId="12">
    <w:name w:val="Body Text First Indent 2"/>
    <w:basedOn w:val="7"/>
    <w:qFormat/>
    <w:uiPriority w:val="0"/>
    <w:pPr>
      <w:widowControl w:val="0"/>
      <w:spacing w:after="120"/>
      <w:ind w:left="420" w:leftChars="200" w:firstLine="420" w:firstLineChars="200"/>
      <w:jc w:val="both"/>
    </w:pPr>
    <w:rPr>
      <w:rFonts w:ascii="Calibri" w:hAnsi="Calibri" w:eastAsia="仿宋_GB2312" w:cs="Calibri"/>
      <w:kern w:val="2"/>
      <w:sz w:val="32"/>
      <w:szCs w:val="32"/>
      <w:lang w:val="en-US" w:eastAsia="zh-CN" w:bidi="ar-SA"/>
    </w:rPr>
  </w:style>
  <w:style w:type="character" w:styleId="15">
    <w:name w:val="Strong"/>
    <w:basedOn w:val="14"/>
    <w:qFormat/>
    <w:uiPriority w:val="0"/>
    <w:rPr>
      <w:b/>
    </w:rPr>
  </w:style>
  <w:style w:type="paragraph" w:customStyle="1" w:styleId="16">
    <w:name w:val="正文文本 21"/>
    <w:basedOn w:val="1"/>
    <w:qFormat/>
    <w:uiPriority w:val="99"/>
    <w:pPr>
      <w:snapToGrid w:val="0"/>
      <w:spacing w:line="540" w:lineRule="exact"/>
    </w:pPr>
    <w:rPr>
      <w:rFonts w:eastAsia="方正仿宋_GBK"/>
      <w:color w:val="000000"/>
    </w:rPr>
  </w:style>
  <w:style w:type="paragraph" w:customStyle="1" w:styleId="17">
    <w:name w:val="p0"/>
    <w:basedOn w:val="1"/>
    <w:qFormat/>
    <w:uiPriority w:val="0"/>
    <w:pPr>
      <w:widowControl/>
    </w:pPr>
    <w:rPr>
      <w:rFonts w:ascii="Times New Roman" w:hAnsi="Times New Roman" w:eastAsia="宋体" w:cs="Times New Roman"/>
      <w:kern w:val="0"/>
      <w:sz w:val="32"/>
      <w:szCs w:val="32"/>
    </w:rPr>
  </w:style>
  <w:style w:type="paragraph" w:customStyle="1" w:styleId="18">
    <w:name w:val="列出段落1"/>
    <w:basedOn w:val="1"/>
    <w:next w:val="19"/>
    <w:qFormat/>
    <w:uiPriority w:val="0"/>
    <w:pPr>
      <w:ind w:firstLine="200" w:firstLineChars="200"/>
    </w:pPr>
  </w:style>
  <w:style w:type="paragraph" w:customStyle="1" w:styleId="19">
    <w:name w:val="索引 51"/>
    <w:basedOn w:val="1"/>
    <w:next w:val="1"/>
    <w:qFormat/>
    <w:uiPriority w:val="0"/>
    <w:pPr>
      <w:ind w:left="1680"/>
    </w:pPr>
  </w:style>
  <w:style w:type="paragraph" w:customStyle="1" w:styleId="20">
    <w:name w:val="正文 A"/>
    <w:qFormat/>
    <w:uiPriority w:val="0"/>
    <w:pPr>
      <w:widowControl w:val="0"/>
      <w:spacing w:line="600" w:lineRule="exact"/>
      <w:ind w:firstLine="640"/>
      <w:jc w:val="both"/>
    </w:pPr>
    <w:rPr>
      <w:rFonts w:ascii="黑体" w:hAnsi="黑体" w:eastAsia="黑体" w:cs="黑体"/>
      <w:color w:val="000000"/>
      <w:kern w:val="2"/>
      <w:sz w:val="21"/>
      <w:szCs w:val="21"/>
      <w:u w:color="000000"/>
      <w:lang w:val="zh-TW" w:eastAsia="zh-TW" w:bidi="ar-SA"/>
    </w:rPr>
  </w:style>
  <w:style w:type="paragraph" w:customStyle="1" w:styleId="21">
    <w:name w:val="NormalIndent"/>
    <w:basedOn w:val="1"/>
    <w:qFormat/>
    <w:uiPriority w:val="0"/>
    <w:pPr>
      <w:ind w:firstLine="420" w:firstLineChars="200"/>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3537</Words>
  <Characters>3902</Characters>
  <Lines>0</Lines>
  <Paragraphs>0</Paragraphs>
  <TotalTime>5</TotalTime>
  <ScaleCrop>false</ScaleCrop>
  <LinksUpToDate>false</LinksUpToDate>
  <CharactersWithSpaces>3902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2023-05-17T03:14:00Z</dcterms:created>
  <dc:creator>付饶Joseph Rao</dc:creator>
  <cp:lastModifiedBy>付饶Joseph Rao</cp:lastModifiedBy>
  <cp:lastPrinted>2024-07-01T02:38:00Z</cp:lastPrinted>
  <dcterms:modified xsi:type="dcterms:W3CDTF">2025-07-22T02:44:23Z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AC11A6DAA4594C83B6E7337F3231458E_13</vt:lpwstr>
  </property>
  <property fmtid="{D5CDD505-2E9C-101B-9397-08002B2CF9AE}" pid="4" name="KSOTemplateDocerSaveRecord">
    <vt:lpwstr>eyJoZGlkIjoiODNjYjkzYmM4NjBkZDIwOGZiM2E2YjIwMTczYTA5ZGMiLCJ1c2VySWQiOiI0MDMyODIyMTMifQ==</vt:lpwstr>
  </property>
</Properties>
</file>