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671" w:rsidRDefault="009A2671" w:rsidP="00F616BE">
      <w:pPr>
        <w:jc w:val="center"/>
        <w:rPr>
          <w:rFonts w:ascii="仿宋_GB2312"/>
          <w:sz w:val="30"/>
          <w:szCs w:val="30"/>
        </w:rPr>
      </w:pPr>
    </w:p>
    <w:p w:rsidR="009A2671" w:rsidRDefault="009A2671" w:rsidP="00F616BE">
      <w:pPr>
        <w:jc w:val="center"/>
        <w:rPr>
          <w:rFonts w:ascii="仿宋_GB2312"/>
          <w:sz w:val="30"/>
          <w:szCs w:val="30"/>
        </w:rPr>
      </w:pPr>
    </w:p>
    <w:p w:rsidR="009A2671" w:rsidRDefault="009A2671" w:rsidP="00F616BE">
      <w:pPr>
        <w:jc w:val="center"/>
        <w:rPr>
          <w:rFonts w:ascii="仿宋_GB2312"/>
          <w:sz w:val="30"/>
          <w:szCs w:val="30"/>
        </w:rPr>
      </w:pPr>
    </w:p>
    <w:p w:rsidR="009A2671" w:rsidRDefault="009A2671" w:rsidP="00F616BE">
      <w:pPr>
        <w:jc w:val="center"/>
        <w:rPr>
          <w:rFonts w:ascii="仿宋_GB2312"/>
          <w:sz w:val="30"/>
          <w:szCs w:val="30"/>
        </w:rPr>
      </w:pPr>
    </w:p>
    <w:p w:rsidR="009A2671" w:rsidRDefault="009A2671" w:rsidP="00F616BE">
      <w:pPr>
        <w:jc w:val="center"/>
        <w:rPr>
          <w:rFonts w:ascii="仿宋_GB2312"/>
          <w:sz w:val="30"/>
          <w:szCs w:val="30"/>
        </w:rPr>
      </w:pPr>
    </w:p>
    <w:p w:rsidR="009A2671" w:rsidRDefault="009A2671" w:rsidP="00F616BE">
      <w:pPr>
        <w:jc w:val="center"/>
        <w:rPr>
          <w:rFonts w:ascii="仿宋_GB2312"/>
          <w:sz w:val="30"/>
          <w:szCs w:val="30"/>
        </w:rPr>
      </w:pPr>
    </w:p>
    <w:p w:rsidR="009A2671" w:rsidRDefault="009A2671" w:rsidP="00F616BE">
      <w:pPr>
        <w:jc w:val="center"/>
        <w:rPr>
          <w:rFonts w:ascii="仿宋_GB2312"/>
          <w:sz w:val="30"/>
          <w:szCs w:val="30"/>
        </w:rPr>
      </w:pPr>
    </w:p>
    <w:p w:rsidR="009A2671" w:rsidRDefault="009A2671" w:rsidP="00F616BE">
      <w:pPr>
        <w:spacing w:line="740" w:lineRule="exact"/>
        <w:jc w:val="center"/>
        <w:rPr>
          <w:rFonts w:ascii="仿宋_GB2312"/>
          <w:sz w:val="30"/>
          <w:szCs w:val="30"/>
        </w:rPr>
      </w:pPr>
    </w:p>
    <w:p w:rsidR="009A2671" w:rsidRDefault="009A2671" w:rsidP="00B91C58">
      <w:pPr>
        <w:ind w:firstLineChars="950" w:firstLine="31680"/>
        <w:rPr>
          <w:rFonts w:ascii="仿宋_GB2312"/>
        </w:rPr>
      </w:pPr>
      <w:r>
        <w:rPr>
          <w:rFonts w:ascii="仿宋_GB2312" w:cs="仿宋_GB2312" w:hint="eastAsia"/>
        </w:rPr>
        <w:t>景财办〔</w:t>
      </w:r>
      <w:r>
        <w:rPr>
          <w:rFonts w:ascii="仿宋_GB2312" w:cs="仿宋_GB2312"/>
        </w:rPr>
        <w:t>2025</w:t>
      </w:r>
      <w:r>
        <w:rPr>
          <w:rFonts w:ascii="仿宋_GB2312" w:cs="仿宋_GB2312" w:hint="eastAsia"/>
        </w:rPr>
        <w:t>〕</w:t>
      </w:r>
      <w:r>
        <w:rPr>
          <w:rFonts w:ascii="仿宋_GB2312" w:cs="仿宋_GB2312"/>
        </w:rPr>
        <w:t>5</w:t>
      </w:r>
      <w:r>
        <w:rPr>
          <w:rFonts w:ascii="仿宋_GB2312" w:cs="仿宋_GB2312" w:hint="eastAsia"/>
        </w:rPr>
        <w:t>号</w:t>
      </w:r>
    </w:p>
    <w:p w:rsidR="009A2671" w:rsidRPr="00F616BE" w:rsidRDefault="009A2671" w:rsidP="00F616BE">
      <w:pPr>
        <w:spacing w:line="400" w:lineRule="exact"/>
        <w:rPr>
          <w:rFonts w:ascii="仿宋_GB2312"/>
        </w:rPr>
      </w:pPr>
    </w:p>
    <w:p w:rsidR="009A2671" w:rsidRPr="00F616BE" w:rsidRDefault="009A2671" w:rsidP="00F616BE">
      <w:pPr>
        <w:spacing w:line="400" w:lineRule="exact"/>
        <w:rPr>
          <w:rFonts w:ascii="仿宋_GB2312"/>
        </w:rPr>
      </w:pPr>
    </w:p>
    <w:p w:rsidR="009A2671" w:rsidRDefault="009A2671" w:rsidP="00F616BE">
      <w:pPr>
        <w:spacing w:line="800" w:lineRule="exact"/>
        <w:jc w:val="center"/>
        <w:rPr>
          <w:rFonts w:ascii="方正大标宋简体" w:eastAsia="方正大标宋简体"/>
          <w:sz w:val="44"/>
          <w:szCs w:val="44"/>
        </w:rPr>
      </w:pPr>
      <w:r w:rsidRPr="00F616BE">
        <w:rPr>
          <w:rFonts w:ascii="方正大标宋简体" w:eastAsia="方正大标宋简体" w:cs="方正大标宋简体" w:hint="eastAsia"/>
          <w:sz w:val="44"/>
          <w:szCs w:val="44"/>
        </w:rPr>
        <w:t>景德镇市财政局关于印发《</w:t>
      </w:r>
      <w:r w:rsidRPr="00F616BE">
        <w:rPr>
          <w:rFonts w:ascii="方正大标宋简体" w:eastAsia="方正大标宋简体" w:cs="方正大标宋简体"/>
          <w:sz w:val="44"/>
          <w:szCs w:val="44"/>
        </w:rPr>
        <w:t>2025</w:t>
      </w:r>
      <w:r w:rsidRPr="00F616BE">
        <w:rPr>
          <w:rFonts w:ascii="方正大标宋简体" w:eastAsia="方正大标宋简体" w:cs="方正大标宋简体" w:hint="eastAsia"/>
          <w:sz w:val="44"/>
          <w:szCs w:val="44"/>
        </w:rPr>
        <w:t>年全市</w:t>
      </w:r>
    </w:p>
    <w:p w:rsidR="009A2671" w:rsidRPr="00F616BE" w:rsidRDefault="009A2671" w:rsidP="00F616BE">
      <w:pPr>
        <w:spacing w:line="800" w:lineRule="exact"/>
        <w:jc w:val="center"/>
        <w:rPr>
          <w:rFonts w:ascii="方正大标宋简体" w:eastAsia="方正大标宋简体"/>
          <w:sz w:val="44"/>
          <w:szCs w:val="44"/>
        </w:rPr>
      </w:pPr>
      <w:r w:rsidRPr="00F616BE">
        <w:rPr>
          <w:rFonts w:ascii="方正大标宋简体" w:eastAsia="方正大标宋简体" w:cs="方正大标宋简体" w:hint="eastAsia"/>
          <w:sz w:val="44"/>
          <w:szCs w:val="44"/>
        </w:rPr>
        <w:t>财政工作要点》的通知</w:t>
      </w:r>
    </w:p>
    <w:p w:rsidR="009A2671" w:rsidRDefault="009A2671">
      <w:pPr>
        <w:jc w:val="center"/>
        <w:rPr>
          <w:rFonts w:ascii="方正大标宋简体" w:eastAsia="方正大标宋简体"/>
          <w:sz w:val="44"/>
          <w:szCs w:val="44"/>
        </w:rPr>
      </w:pPr>
    </w:p>
    <w:p w:rsidR="009A2671" w:rsidRDefault="009A2671" w:rsidP="00F616BE">
      <w:pPr>
        <w:spacing w:line="640" w:lineRule="exact"/>
        <w:rPr>
          <w:rFonts w:ascii="仿宋_GB2312"/>
        </w:rPr>
      </w:pPr>
      <w:r>
        <w:rPr>
          <w:rFonts w:ascii="仿宋_GB2312" w:hAnsi="仿宋_GB2312" w:cs="仿宋_GB2312" w:hint="eastAsia"/>
        </w:rPr>
        <w:t>各县（市、区）财政局，局机关各科室、局属各单位：</w:t>
      </w:r>
    </w:p>
    <w:p w:rsidR="009A2671" w:rsidRDefault="009A2671" w:rsidP="00F616BE">
      <w:pPr>
        <w:spacing w:line="640" w:lineRule="exact"/>
        <w:ind w:firstLine="640"/>
        <w:rPr>
          <w:rFonts w:ascii="仿宋_GB2312"/>
        </w:rPr>
      </w:pPr>
      <w:r>
        <w:rPr>
          <w:rFonts w:ascii="仿宋_GB2312" w:hAnsi="仿宋_GB2312" w:cs="仿宋_GB2312" w:hint="eastAsia"/>
        </w:rPr>
        <w:t>《</w:t>
      </w:r>
      <w:r>
        <w:rPr>
          <w:rFonts w:ascii="仿宋_GB2312" w:hAnsi="仿宋_GB2312" w:cs="仿宋_GB2312"/>
        </w:rPr>
        <w:t>2025</w:t>
      </w:r>
      <w:r>
        <w:rPr>
          <w:rFonts w:ascii="仿宋_GB2312" w:hAnsi="仿宋_GB2312" w:cs="仿宋_GB2312" w:hint="eastAsia"/>
        </w:rPr>
        <w:t>年全市财政工作要点》已经</w:t>
      </w:r>
      <w:bookmarkStart w:id="0" w:name="_GoBack"/>
      <w:r>
        <w:rPr>
          <w:rFonts w:ascii="仿宋_GB2312" w:hAnsi="仿宋_GB2312" w:cs="仿宋_GB2312" w:hint="eastAsia"/>
        </w:rPr>
        <w:t>局党组会审议通过，</w:t>
      </w:r>
      <w:bookmarkEnd w:id="0"/>
      <w:r>
        <w:rPr>
          <w:rFonts w:ascii="仿宋_GB2312" w:hAnsi="仿宋_GB2312" w:cs="仿宋_GB2312" w:hint="eastAsia"/>
        </w:rPr>
        <w:t>现印发给你们，请结合实际认真抓好贯彻落实。</w:t>
      </w:r>
    </w:p>
    <w:p w:rsidR="009A2671" w:rsidRDefault="009A2671">
      <w:pPr>
        <w:spacing w:line="560" w:lineRule="exact"/>
        <w:jc w:val="left"/>
        <w:rPr>
          <w:rFonts w:ascii="仿宋_GB2312"/>
        </w:rPr>
      </w:pPr>
    </w:p>
    <w:p w:rsidR="009A2671" w:rsidRDefault="009A2671">
      <w:pPr>
        <w:pStyle w:val="BodyText"/>
        <w:rPr>
          <w:rFonts w:ascii="仿宋_GB2312"/>
          <w:b w:val="0"/>
          <w:bCs w:val="0"/>
        </w:rPr>
      </w:pPr>
    </w:p>
    <w:p w:rsidR="009A2671" w:rsidRDefault="009A2671" w:rsidP="00B91C58">
      <w:pPr>
        <w:pStyle w:val="BodyTextFirstIndent"/>
        <w:ind w:firstLine="31680"/>
        <w:rPr>
          <w:rFonts w:ascii="仿宋_GB2312"/>
          <w:b w:val="0"/>
          <w:bCs w:val="0"/>
        </w:rPr>
      </w:pPr>
    </w:p>
    <w:p w:rsidR="009A2671" w:rsidRDefault="009A2671" w:rsidP="00F616BE">
      <w:pPr>
        <w:jc w:val="center"/>
        <w:rPr>
          <w:rFonts w:ascii="仿宋_GB2312"/>
        </w:rPr>
      </w:pPr>
      <w:r>
        <w:rPr>
          <w:rFonts w:ascii="仿宋_GB2312" w:hAnsi="仿宋_GB2312" w:cs="仿宋_GB2312"/>
        </w:rPr>
        <w:t xml:space="preserve">                                 2025</w:t>
      </w:r>
      <w:r>
        <w:rPr>
          <w:rFonts w:ascii="仿宋_GB2312" w:hAnsi="仿宋_GB2312" w:cs="仿宋_GB2312" w:hint="eastAsia"/>
        </w:rPr>
        <w:t>年</w:t>
      </w:r>
      <w:r>
        <w:rPr>
          <w:rFonts w:ascii="仿宋_GB2312" w:hAnsi="仿宋_GB2312" w:cs="仿宋_GB2312"/>
        </w:rPr>
        <w:t>3</w:t>
      </w:r>
      <w:r>
        <w:rPr>
          <w:rFonts w:ascii="仿宋_GB2312" w:hAnsi="仿宋_GB2312" w:cs="仿宋_GB2312" w:hint="eastAsia"/>
        </w:rPr>
        <w:t>月</w:t>
      </w:r>
      <w:r>
        <w:rPr>
          <w:rFonts w:ascii="仿宋_GB2312" w:hAnsi="仿宋_GB2312" w:cs="仿宋_GB2312"/>
        </w:rPr>
        <w:t>11</w:t>
      </w:r>
      <w:r>
        <w:rPr>
          <w:rFonts w:ascii="仿宋_GB2312" w:hAnsi="仿宋_GB2312" w:cs="仿宋_GB2312" w:hint="eastAsia"/>
        </w:rPr>
        <w:t>日</w:t>
      </w:r>
    </w:p>
    <w:p w:rsidR="009A2671" w:rsidRDefault="009A2671">
      <w:pPr>
        <w:pStyle w:val="BodyText"/>
        <w:rPr>
          <w:rFonts w:ascii="仿宋_GB2312"/>
        </w:rPr>
      </w:pPr>
    </w:p>
    <w:p w:rsidR="009A2671" w:rsidRDefault="009A2671" w:rsidP="00B021E9">
      <w:pPr>
        <w:pStyle w:val="Heading1"/>
        <w:spacing w:line="800" w:lineRule="exact"/>
        <w:rPr>
          <w:rFonts w:cs="Times New Roman"/>
        </w:rPr>
      </w:pPr>
      <w:r>
        <w:t>2025</w:t>
      </w:r>
      <w:r>
        <w:rPr>
          <w:rFonts w:hint="eastAsia"/>
        </w:rPr>
        <w:t>年全市财政工作要点</w:t>
      </w:r>
    </w:p>
    <w:p w:rsidR="009A2671" w:rsidRDefault="009A2671" w:rsidP="00B91C58">
      <w:pPr>
        <w:ind w:firstLineChars="200" w:firstLine="31680"/>
        <w:rPr>
          <w:rFonts w:ascii="仿宋_GB2312"/>
          <w:color w:val="000000"/>
          <w:shd w:val="clear" w:color="auto" w:fill="FFFFFF"/>
        </w:rPr>
      </w:pPr>
    </w:p>
    <w:p w:rsidR="009A2671" w:rsidRDefault="009A2671" w:rsidP="00B91C58">
      <w:pPr>
        <w:ind w:firstLineChars="200" w:firstLine="31680"/>
        <w:rPr>
          <w:rFonts w:ascii="仿宋_GB2312"/>
        </w:rPr>
      </w:pPr>
      <w:r>
        <w:rPr>
          <w:rFonts w:ascii="仿宋_GB2312" w:hAnsi="仿宋_GB2312" w:cs="仿宋_GB2312"/>
          <w:color w:val="000000"/>
          <w:shd w:val="clear" w:color="auto" w:fill="FFFFFF"/>
        </w:rPr>
        <w:t>2025</w:t>
      </w:r>
      <w:r>
        <w:rPr>
          <w:rFonts w:ascii="仿宋_GB2312" w:hAnsi="仿宋_GB2312" w:cs="仿宋_GB2312" w:hint="eastAsia"/>
          <w:color w:val="000000"/>
          <w:shd w:val="clear" w:color="auto" w:fill="FFFFFF"/>
        </w:rPr>
        <w:t>年是“十四五”规划收官之年，是“十五五”谋划之年，也是国家试验区建设的进阶之年</w:t>
      </w:r>
      <w:r>
        <w:rPr>
          <w:rFonts w:ascii="仿宋_GB2312" w:hAnsi="仿宋_GB2312" w:cs="仿宋_GB2312" w:hint="eastAsia"/>
          <w:color w:val="000000"/>
        </w:rPr>
        <w:t>，做好财政工作意义重大</w:t>
      </w:r>
      <w:r>
        <w:rPr>
          <w:rFonts w:ascii="仿宋_GB2312" w:hAnsi="仿宋_GB2312" w:cs="仿宋_GB2312" w:hint="eastAsia"/>
          <w:color w:val="000000"/>
          <w:shd w:val="clear" w:color="auto" w:fill="FFFFFF"/>
        </w:rPr>
        <w:t>。全市财政工作的</w:t>
      </w:r>
      <w:r>
        <w:rPr>
          <w:rFonts w:ascii="仿宋_GB2312" w:hAnsi="仿宋_GB2312" w:cs="仿宋_GB2312" w:hint="eastAsia"/>
          <w:color w:val="000000"/>
        </w:rPr>
        <w:t>总体要求是：</w:t>
      </w:r>
      <w:r>
        <w:rPr>
          <w:rFonts w:ascii="黑体" w:eastAsia="黑体" w:hAnsi="黑体" w:cs="黑体" w:hint="eastAsia"/>
          <w:color w:val="000000"/>
        </w:rPr>
        <w:t>坚持以习近平新时代中国特色社会主义思想为指导，深入贯彻党的二十大和二十届二中、三中全会精神，全面落实习近平总书记考察江西重要讲话精神和对景德镇重要指示批示精神，按照省委十五届七次全会和市委十二届七次全会部署，以景德镇国家陶瓷文化传承创新试验区建设为统领，围绕“两地一中心”战略定位，牢固树立“大财政”理念，全力做好“大统筹”文章，深入推进“大资金”运行，实施更加积极的财政政策，加强财政资源统筹力度，优化财政支出结构，切实保障和改善民生，防范化解财政金融风险，深化财税体制改革，实现财政安全可持续运行，高水平打造习近平文化思想实践高地，奋力把“千年瓷都”这张靓丽的名片擦得更亮。</w:t>
      </w:r>
    </w:p>
    <w:p w:rsidR="009A2671" w:rsidRDefault="009A2671" w:rsidP="00B91C58">
      <w:pPr>
        <w:ind w:firstLineChars="200" w:firstLine="31680"/>
        <w:rPr>
          <w:rFonts w:ascii="黑体" w:eastAsia="黑体" w:hAnsi="黑体"/>
        </w:rPr>
      </w:pPr>
      <w:r>
        <w:rPr>
          <w:rFonts w:ascii="黑体" w:eastAsia="黑体" w:hAnsi="黑体" w:cs="黑体" w:hint="eastAsia"/>
        </w:rPr>
        <w:t>一、坚持稳字当头，全面增强财政统筹能力</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1.</w:t>
      </w:r>
      <w:r>
        <w:rPr>
          <w:rFonts w:ascii="楷体_GB2312" w:eastAsia="楷体_GB2312" w:hAnsi="楷体_GB2312" w:cs="楷体_GB2312" w:hint="eastAsia"/>
          <w:b/>
          <w:bCs/>
        </w:rPr>
        <w:t>全力组织财政收入。</w:t>
      </w:r>
      <w:r>
        <w:rPr>
          <w:rFonts w:ascii="仿宋_GB2312" w:hAnsi="仿宋_GB2312" w:cs="仿宋_GB2312" w:hint="eastAsia"/>
        </w:rPr>
        <w:t>建立健全财政税收联动机制，持续加强重点税源企业税收监测分析，加强住宿餐饮、股权转让、个人所得、房产交易等税收征管。加强土地出让收入管理，加强湿地交易收入管理，扩充财政收入来源。建立重点项目建设和电商产业发展税务服务机制，加强建设工程和电商平台税收管理。加大对历年欠缴税费的清缴力度，确保颗粒归仓、应收尽收，全面完成财政收入增长</w:t>
      </w:r>
      <w:r>
        <w:rPr>
          <w:rFonts w:ascii="仿宋_GB2312" w:hAnsi="仿宋_GB2312" w:cs="仿宋_GB2312"/>
        </w:rPr>
        <w:t>1.1%</w:t>
      </w:r>
      <w:r>
        <w:rPr>
          <w:rFonts w:ascii="仿宋_GB2312" w:hAnsi="仿宋_GB2312" w:cs="仿宋_GB2312" w:hint="eastAsia"/>
        </w:rPr>
        <w:t>。</w:t>
      </w:r>
      <w:r>
        <w:rPr>
          <w:rFonts w:ascii="楷体_GB2312" w:eastAsia="楷体_GB2312" w:hAnsi="楷体_GB2312" w:cs="楷体_GB2312" w:hint="eastAsia"/>
          <w:b/>
          <w:bCs/>
        </w:rPr>
        <w:t>（责任科室：预算科、自然资源和生态环境科、税费管理科；责任领导：柴立群、周志刚）</w:t>
      </w:r>
    </w:p>
    <w:p w:rsidR="009A2671" w:rsidRDefault="009A2671" w:rsidP="00B91C58">
      <w:pPr>
        <w:pStyle w:val="BodyText"/>
        <w:ind w:firstLineChars="200" w:firstLine="31680"/>
        <w:rPr>
          <w:rFonts w:ascii="仿宋_GB2312"/>
          <w:b w:val="0"/>
          <w:bCs w:val="0"/>
        </w:rPr>
      </w:pPr>
      <w:r>
        <w:rPr>
          <w:rFonts w:ascii="楷体_GB2312" w:eastAsia="楷体_GB2312" w:hAnsi="楷体_GB2312" w:cs="楷体_GB2312"/>
        </w:rPr>
        <w:t>2.</w:t>
      </w:r>
      <w:r>
        <w:rPr>
          <w:rFonts w:ascii="楷体_GB2312" w:eastAsia="楷体_GB2312" w:hAnsi="楷体_GB2312" w:cs="楷体_GB2312" w:hint="eastAsia"/>
        </w:rPr>
        <w:t>推行纳税“红榜”制度。</w:t>
      </w:r>
      <w:r>
        <w:rPr>
          <w:rFonts w:ascii="仿宋_GB2312" w:hAnsi="仿宋_GB2312" w:cs="仿宋_GB2312" w:hint="eastAsia"/>
          <w:b w:val="0"/>
          <w:bCs w:val="0"/>
        </w:rPr>
        <w:t>加强与税务部门对接，建立企业和艺术大师纳税“红榜”荣誉制度，提升企业纳税遵从度，引导陶瓷艺术行业从业人员规范纳税</w:t>
      </w:r>
      <w:r>
        <w:rPr>
          <w:rFonts w:ascii="仿宋_GB2312" w:cs="仿宋_GB2312"/>
          <w:b w:val="0"/>
          <w:bCs w:val="0"/>
        </w:rPr>
        <w:t>,</w:t>
      </w:r>
      <w:r>
        <w:rPr>
          <w:rFonts w:ascii="仿宋_GB2312" w:hAnsi="仿宋_GB2312" w:cs="仿宋_GB2312" w:hint="eastAsia"/>
          <w:b w:val="0"/>
          <w:bCs w:val="0"/>
        </w:rPr>
        <w:t>完善企业和陶瓷艺术行业的纳税社会信用体系，持续营造全社会诚信纳税氛围。</w:t>
      </w:r>
      <w:r>
        <w:rPr>
          <w:rFonts w:ascii="楷体_GB2312" w:eastAsia="楷体_GB2312" w:hAnsi="楷体_GB2312" w:cs="楷体_GB2312" w:hint="eastAsia"/>
        </w:rPr>
        <w:t>（责任科室：国库科、预算科；责任领导：叶伟、柴立群）</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3.</w:t>
      </w:r>
      <w:r>
        <w:rPr>
          <w:rFonts w:ascii="楷体_GB2312" w:eastAsia="楷体_GB2312" w:hAnsi="楷体_GB2312" w:cs="楷体_GB2312" w:hint="eastAsia"/>
          <w:b/>
          <w:bCs/>
        </w:rPr>
        <w:t>开展“三资”清理盘活。</w:t>
      </w:r>
      <w:r>
        <w:rPr>
          <w:rFonts w:ascii="仿宋_GB2312" w:hAnsi="仿宋_GB2312" w:cs="仿宋_GB2312" w:hint="eastAsia"/>
        </w:rPr>
        <w:t>制定出台《“三资”清查处置与管理改革总体方案》，全面系统推进“三资”清理盘活，提高资产使用效益。全面落实国有资本经营预算和国有资源（资产）收益管理制度，配合制定国有企业投资项目管理办法。</w:t>
      </w:r>
      <w:r>
        <w:rPr>
          <w:rFonts w:ascii="楷体_GB2312" w:eastAsia="楷体_GB2312" w:hAnsi="楷体_GB2312" w:cs="楷体_GB2312" w:hint="eastAsia"/>
          <w:b/>
          <w:bCs/>
        </w:rPr>
        <w:t>（责任科室：企业和资产管理科、国库科、税费管理科、经济建设科、预算评价中心；责任领导：曹炜华、叶伟、王田生、周志刚）</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4.</w:t>
      </w:r>
      <w:r>
        <w:rPr>
          <w:rFonts w:ascii="楷体_GB2312" w:eastAsia="楷体_GB2312" w:hAnsi="楷体_GB2312" w:cs="楷体_GB2312" w:hint="eastAsia"/>
          <w:b/>
          <w:bCs/>
        </w:rPr>
        <w:t>优化财政支出结构。</w:t>
      </w:r>
      <w:r>
        <w:rPr>
          <w:rFonts w:ascii="仿宋_GB2312" w:hAnsi="仿宋_GB2312" w:cs="仿宋_GB2312" w:hint="eastAsia"/>
        </w:rPr>
        <w:t>持续落实政府过“紧日子”要求，严格控制一般性支出，大力压缩“三公”经费支出，持续降低行政运行成本，腾出资金优先保障“三保”等刚性支出和市委、市政府重大决策部署落实。</w:t>
      </w:r>
      <w:r>
        <w:rPr>
          <w:rFonts w:ascii="楷体_GB2312" w:eastAsia="楷体_GB2312" w:hAnsi="楷体_GB2312" w:cs="楷体_GB2312" w:hint="eastAsia"/>
          <w:b/>
          <w:bCs/>
        </w:rPr>
        <w:t>（责任科室：各业务科室；责任领导：各分管领导）</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5.</w:t>
      </w:r>
      <w:r>
        <w:rPr>
          <w:rFonts w:ascii="楷体_GB2312" w:eastAsia="楷体_GB2312" w:hAnsi="楷体_GB2312" w:cs="楷体_GB2312" w:hint="eastAsia"/>
          <w:b/>
          <w:bCs/>
        </w:rPr>
        <w:t>加强预算执行管理。</w:t>
      </w:r>
      <w:r>
        <w:rPr>
          <w:rFonts w:ascii="仿宋_GB2312" w:hAnsi="仿宋_GB2312" w:cs="仿宋_GB2312" w:hint="eastAsia"/>
        </w:rPr>
        <w:t>严格执行人大批准的预算，严禁无预算、超预算支出，落实落细分层执行原则，加强支出进度管理，维护财政预算执行的严肃性。制定预算调整调剂规范管理办法，加强预算绩效评审与预算执行深度融合，加强“三公”经费监管和直达资金监控，切实推进预算执行提质增效。</w:t>
      </w:r>
      <w:r>
        <w:rPr>
          <w:rFonts w:ascii="楷体_GB2312" w:eastAsia="楷体_GB2312" w:hAnsi="楷体_GB2312" w:cs="楷体_GB2312" w:hint="eastAsia"/>
          <w:b/>
          <w:bCs/>
        </w:rPr>
        <w:t>（责任科室：预算科、监督评价科、财政公共服务中心；责任领导：柴立群、钟仁金、王田生）</w:t>
      </w:r>
    </w:p>
    <w:p w:rsidR="009A2671" w:rsidRDefault="009A2671" w:rsidP="00B91C58">
      <w:pPr>
        <w:ind w:firstLineChars="200" w:firstLine="31680"/>
        <w:rPr>
          <w:rFonts w:ascii="黑体" w:eastAsia="黑体" w:hAnsi="黑体"/>
        </w:rPr>
      </w:pPr>
      <w:r>
        <w:rPr>
          <w:rFonts w:ascii="黑体" w:eastAsia="黑体" w:hAnsi="黑体" w:cs="黑体" w:hint="eastAsia"/>
        </w:rPr>
        <w:t>二、坚持底线思维，防范化解财政金融风险</w:t>
      </w:r>
    </w:p>
    <w:p w:rsidR="009A2671" w:rsidRDefault="009A2671" w:rsidP="00B91C58">
      <w:pPr>
        <w:ind w:firstLineChars="200" w:firstLine="31680"/>
        <w:rPr>
          <w:rFonts w:ascii="仿宋_GB2312"/>
        </w:rPr>
      </w:pPr>
      <w:r>
        <w:rPr>
          <w:rFonts w:ascii="楷体_GB2312" w:eastAsia="楷体_GB2312" w:hAnsi="楷体_GB2312" w:cs="楷体_GB2312"/>
          <w:b/>
          <w:bCs/>
        </w:rPr>
        <w:t>6.</w:t>
      </w:r>
      <w:r>
        <w:rPr>
          <w:rFonts w:ascii="楷体_GB2312" w:eastAsia="楷体_GB2312" w:hAnsi="楷体_GB2312" w:cs="楷体_GB2312" w:hint="eastAsia"/>
          <w:b/>
          <w:bCs/>
        </w:rPr>
        <w:t>兜牢基层“三保”底线。</w:t>
      </w:r>
      <w:r>
        <w:rPr>
          <w:rFonts w:ascii="仿宋_GB2312" w:hAnsi="仿宋_GB2312" w:cs="仿宋_GB2312" w:hint="eastAsia"/>
        </w:rPr>
        <w:t>认真贯彻落实中央加强基层“三保”工作意见，压实县区“三保”支出责任，建立“三保”清单制度，足额编制“三保”支出预算，确保不留硬缺口。强化国库库款管理，科学合理调度资金，健全完善基层财政运行监控和应急处置机制。</w:t>
      </w:r>
      <w:r>
        <w:rPr>
          <w:rFonts w:ascii="楷体_GB2312" w:eastAsia="楷体_GB2312" w:hAnsi="楷体_GB2312" w:cs="楷体_GB2312" w:hint="eastAsia"/>
          <w:b/>
          <w:bCs/>
        </w:rPr>
        <w:t>（责任科室：预算科、国库科；责任领导：叶伟、柴立群）</w:t>
      </w:r>
    </w:p>
    <w:p w:rsidR="009A2671" w:rsidRDefault="009A2671" w:rsidP="00B91C58">
      <w:pPr>
        <w:ind w:firstLineChars="200" w:firstLine="31680"/>
        <w:rPr>
          <w:rFonts w:ascii="仿宋_GB2312"/>
        </w:rPr>
      </w:pPr>
      <w:r>
        <w:rPr>
          <w:rFonts w:ascii="楷体_GB2312" w:eastAsia="楷体_GB2312" w:hAnsi="楷体_GB2312" w:cs="楷体_GB2312"/>
          <w:b/>
          <w:bCs/>
        </w:rPr>
        <w:t>7.</w:t>
      </w:r>
      <w:r>
        <w:rPr>
          <w:rFonts w:ascii="楷体_GB2312" w:eastAsia="楷体_GB2312" w:hAnsi="楷体_GB2312" w:cs="楷体_GB2312" w:hint="eastAsia"/>
          <w:b/>
          <w:bCs/>
        </w:rPr>
        <w:t>化解地方政府债务风险。</w:t>
      </w:r>
      <w:r>
        <w:rPr>
          <w:rFonts w:ascii="仿宋_GB2312" w:hAnsi="仿宋_GB2312" w:cs="仿宋_GB2312" w:hint="eastAsia"/>
        </w:rPr>
        <w:t>全面落实省、市防范化解地方债务风险工作方案，规范政府举债融资行为，坚决遏制债务增量，稳妥化解债务存量，坚决完成</w:t>
      </w:r>
      <w:r>
        <w:rPr>
          <w:rFonts w:ascii="仿宋_GB2312" w:hAnsi="仿宋_GB2312" w:cs="仿宋_GB2312"/>
        </w:rPr>
        <w:t>2025</w:t>
      </w:r>
      <w:r>
        <w:rPr>
          <w:rFonts w:ascii="仿宋_GB2312" w:hAnsi="仿宋_GB2312" w:cs="仿宋_GB2312" w:hint="eastAsia"/>
        </w:rPr>
        <w:t>年年度政府隐性债务化债任务。积极用好新增地方政府债务限额用于收储土地、存量商品房等政策，缓解政府流动性和债务压力，确保全市债务率逐步下降。</w:t>
      </w:r>
      <w:r>
        <w:rPr>
          <w:rFonts w:ascii="楷体_GB2312" w:eastAsia="楷体_GB2312" w:hAnsi="楷体_GB2312" w:cs="楷体_GB2312" w:hint="eastAsia"/>
          <w:b/>
          <w:bCs/>
        </w:rPr>
        <w:t>（责任科室：债务金融科、自然资源和生态环境科、经济建设科；责任领导：柴立群、王田生）</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8.</w:t>
      </w:r>
      <w:r>
        <w:rPr>
          <w:rFonts w:ascii="楷体_GB2312" w:eastAsia="楷体_GB2312" w:hAnsi="楷体_GB2312" w:cs="楷体_GB2312" w:hint="eastAsia"/>
          <w:b/>
          <w:bCs/>
        </w:rPr>
        <w:t>全力防范平台债务风险。</w:t>
      </w:r>
      <w:r>
        <w:rPr>
          <w:rFonts w:ascii="仿宋_GB2312" w:hAnsi="仿宋_GB2312" w:cs="仿宋_GB2312" w:hint="eastAsia"/>
        </w:rPr>
        <w:t>聚焦地方政府“降存量、控增量、防爆雷”的总体目标，加强全口径、常态化监测，切实防范平台公司流动性风险，支持平台公司转型优化升级，尽快完成退出融资平台任务，加快“城投”转“产投”的步伐。</w:t>
      </w:r>
      <w:r>
        <w:rPr>
          <w:rFonts w:ascii="楷体_GB2312" w:eastAsia="楷体_GB2312" w:hAnsi="楷体_GB2312" w:cs="楷体_GB2312" w:hint="eastAsia"/>
          <w:b/>
          <w:bCs/>
        </w:rPr>
        <w:t>（责任科室：债务金融科；责任领导：柴立群）</w:t>
      </w:r>
    </w:p>
    <w:p w:rsidR="009A2671" w:rsidRDefault="009A2671" w:rsidP="00B91C58">
      <w:pPr>
        <w:ind w:firstLineChars="200" w:firstLine="31680"/>
        <w:rPr>
          <w:rFonts w:ascii="黑体" w:eastAsia="黑体" w:hAnsi="黑体"/>
        </w:rPr>
      </w:pPr>
      <w:r>
        <w:rPr>
          <w:rFonts w:ascii="黑体" w:eastAsia="黑体" w:hAnsi="黑体" w:cs="黑体" w:hint="eastAsia"/>
        </w:rPr>
        <w:t>三、坚持综合施策，更好发挥财政政策效能</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9.</w:t>
      </w:r>
      <w:r>
        <w:rPr>
          <w:rFonts w:ascii="楷体_GB2312" w:eastAsia="楷体_GB2312" w:hAnsi="楷体_GB2312" w:cs="楷体_GB2312" w:hint="eastAsia"/>
          <w:b/>
          <w:bCs/>
        </w:rPr>
        <w:t>提升争资争项质效。</w:t>
      </w:r>
      <w:r>
        <w:rPr>
          <w:rFonts w:ascii="仿宋_GB2312" w:hAnsi="仿宋_GB2312" w:cs="仿宋_GB2312" w:hint="eastAsia"/>
        </w:rPr>
        <w:t>抢抓一揽子财政增量政策和更加积极的财政政策带来的有利窗口和国家、省“十五五”规划编制重要窗口，对表对标全市“争资争项争政策”任务清单，持续加大“跑部入厅”力度，全力争取中央预算内资金、特别国债、专项债券、均衡性转移支付资金向我市倾斜，</w:t>
      </w:r>
      <w:r>
        <w:rPr>
          <w:rFonts w:ascii="仿宋_GB2312" w:hAnsi="仿宋_GB2312" w:cs="仿宋_GB2312" w:hint="eastAsia"/>
          <w:color w:val="000000"/>
        </w:rPr>
        <w:t>努力推动罗家机场改扩建工程获得上级支持，浮梁县申报全国传统村落保护利用示范县，消费城市政策试点获批。</w:t>
      </w:r>
      <w:r>
        <w:rPr>
          <w:rFonts w:ascii="楷体_GB2312" w:eastAsia="楷体_GB2312" w:hAnsi="楷体_GB2312" w:cs="楷体_GB2312" w:hint="eastAsia"/>
          <w:b/>
          <w:bCs/>
        </w:rPr>
        <w:t>（责任科室：预算科、债务金融科、经济建设科；责任领导：柴立群、王田生）</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10.</w:t>
      </w:r>
      <w:r>
        <w:rPr>
          <w:rFonts w:ascii="楷体_GB2312" w:eastAsia="楷体_GB2312" w:hAnsi="楷体_GB2312" w:cs="楷体_GB2312" w:hint="eastAsia"/>
          <w:b/>
          <w:bCs/>
        </w:rPr>
        <w:t>加强专项债券管理。</w:t>
      </w:r>
      <w:r>
        <w:rPr>
          <w:rFonts w:ascii="仿宋_GB2312" w:hAnsi="仿宋_GB2312" w:cs="仿宋_GB2312" w:hint="eastAsia"/>
        </w:rPr>
        <w:t>指导做好专项债券项目谋划、储备及申报工作，积极组织申报发行新增地方政府专项债券，从“借、用、还、管”各环节强化债券资金管理，切实提高资金使用效率，推动形成更多实物工作量，更好发挥专项债券稳投资的作用。</w:t>
      </w:r>
      <w:r>
        <w:rPr>
          <w:rFonts w:ascii="楷体_GB2312" w:eastAsia="楷体_GB2312" w:hAnsi="楷体_GB2312" w:cs="楷体_GB2312" w:hint="eastAsia"/>
          <w:b/>
          <w:bCs/>
        </w:rPr>
        <w:t>（责任科室：债务金融科；责任领导：柴立群）</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11.</w:t>
      </w:r>
      <w:r>
        <w:rPr>
          <w:rFonts w:ascii="楷体_GB2312" w:eastAsia="楷体_GB2312" w:hAnsi="楷体_GB2312" w:cs="楷体_GB2312" w:hint="eastAsia"/>
          <w:b/>
          <w:bCs/>
        </w:rPr>
        <w:t>创新财银联动发展。</w:t>
      </w:r>
      <w:r>
        <w:rPr>
          <w:rFonts w:ascii="仿宋_GB2312" w:hAnsi="仿宋_GB2312" w:cs="仿宋_GB2312" w:hint="eastAsia"/>
        </w:rPr>
        <w:t>充分放大财政的杠杆作用，用好科创基金、产业奖补、贷款贴息等财政金融工具</w:t>
      </w:r>
      <w:r>
        <w:rPr>
          <w:rFonts w:ascii="仿宋_GB2312" w:hAnsi="仿宋_GB2312" w:cs="仿宋_GB2312" w:hint="eastAsia"/>
          <w:color w:val="000000"/>
        </w:rPr>
        <w:t>，全力支持市场主体强信心、增活力。强化考核驱动，推动我市农业保险高质量发展</w:t>
      </w:r>
      <w:r>
        <w:rPr>
          <w:rFonts w:ascii="仿宋_GB2312" w:hAnsi="仿宋_GB2312" w:cs="仿宋_GB2312" w:hint="eastAsia"/>
        </w:rPr>
        <w:t>。修订市级预算单位银行账户管理办法，开展</w:t>
      </w:r>
      <w:r>
        <w:rPr>
          <w:rFonts w:ascii="仿宋_GB2312" w:hAnsi="仿宋_GB2312" w:cs="仿宋_GB2312"/>
        </w:rPr>
        <w:t>2025</w:t>
      </w:r>
      <w:r>
        <w:rPr>
          <w:rFonts w:ascii="仿宋_GB2312" w:hAnsi="仿宋_GB2312" w:cs="仿宋_GB2312" w:hint="eastAsia"/>
        </w:rPr>
        <w:t>年度银行业金融机构支持地方经济发展评价工作，进一步用活金融“活水”。</w:t>
      </w:r>
      <w:r>
        <w:rPr>
          <w:rFonts w:ascii="仿宋_GB2312" w:hAnsi="仿宋_GB2312" w:cs="仿宋_GB2312" w:hint="eastAsia"/>
          <w:color w:val="000000"/>
        </w:rPr>
        <w:t>（</w:t>
      </w:r>
      <w:r>
        <w:rPr>
          <w:rFonts w:ascii="楷体_GB2312" w:eastAsia="楷体_GB2312" w:hAnsi="楷体_GB2312" w:cs="楷体_GB2312" w:hint="eastAsia"/>
          <w:b/>
          <w:bCs/>
        </w:rPr>
        <w:t>责任科室：国库科、企业和资产管理科、农业农村科、科教文体科、债务金融科；责任领导：曹炜华、叶伟、柴立群、周志刚）</w:t>
      </w:r>
    </w:p>
    <w:p w:rsidR="009A2671" w:rsidRDefault="009A2671" w:rsidP="00B91C58">
      <w:pPr>
        <w:ind w:firstLineChars="200" w:firstLine="31680"/>
        <w:rPr>
          <w:rFonts w:ascii="仿宋_GB2312"/>
        </w:rPr>
      </w:pPr>
      <w:r>
        <w:rPr>
          <w:rFonts w:ascii="楷体_GB2312" w:eastAsia="楷体_GB2312" w:hAnsi="楷体_GB2312" w:cs="楷体_GB2312"/>
          <w:b/>
          <w:bCs/>
        </w:rPr>
        <w:t>12.</w:t>
      </w:r>
      <w:r>
        <w:rPr>
          <w:rFonts w:ascii="楷体_GB2312" w:eastAsia="楷体_GB2312" w:hAnsi="楷体_GB2312" w:cs="楷体_GB2312" w:hint="eastAsia"/>
          <w:b/>
          <w:bCs/>
        </w:rPr>
        <w:t>落实税费支持政策。</w:t>
      </w:r>
      <w:r>
        <w:rPr>
          <w:rFonts w:ascii="仿宋_GB2312" w:hAnsi="仿宋_GB2312" w:cs="仿宋_GB2312" w:hint="eastAsia"/>
        </w:rPr>
        <w:t>落实好结构性减税降费政策，推动各项税费优惠政策落实落细，让经营主体应知尽知，确保应享尽享、应减尽减。</w:t>
      </w:r>
      <w:r>
        <w:rPr>
          <w:rFonts w:ascii="楷体_GB2312" w:eastAsia="楷体_GB2312" w:hAnsi="楷体_GB2312" w:cs="楷体_GB2312" w:hint="eastAsia"/>
          <w:b/>
          <w:bCs/>
        </w:rPr>
        <w:t>（责任科室：税费管理科、预算科；责任领导：柴立群、周志刚）</w:t>
      </w:r>
    </w:p>
    <w:p w:rsidR="009A2671" w:rsidRDefault="009A2671" w:rsidP="00B91C58">
      <w:pPr>
        <w:ind w:firstLineChars="200" w:firstLine="31680"/>
        <w:rPr>
          <w:rFonts w:ascii="黑体" w:eastAsia="黑体" w:hAnsi="黑体"/>
        </w:rPr>
      </w:pPr>
      <w:r>
        <w:rPr>
          <w:rFonts w:ascii="黑体" w:eastAsia="黑体" w:hAnsi="黑体" w:cs="黑体" w:hint="eastAsia"/>
        </w:rPr>
        <w:t>四、坚持突出重点，服务保障重大战略实施</w:t>
      </w:r>
    </w:p>
    <w:p w:rsidR="009A2671" w:rsidRDefault="009A2671" w:rsidP="00B91C58">
      <w:pPr>
        <w:ind w:firstLineChars="200" w:firstLine="31680"/>
        <w:rPr>
          <w:rFonts w:ascii="仿宋_GB2312"/>
        </w:rPr>
      </w:pPr>
      <w:r>
        <w:rPr>
          <w:rFonts w:ascii="楷体_GB2312" w:eastAsia="楷体_GB2312" w:hAnsi="楷体_GB2312" w:cs="楷体_GB2312"/>
          <w:b/>
          <w:bCs/>
        </w:rPr>
        <w:t>13.</w:t>
      </w:r>
      <w:r>
        <w:rPr>
          <w:rFonts w:ascii="楷体_GB2312" w:eastAsia="楷体_GB2312" w:hAnsi="楷体_GB2312" w:cs="楷体_GB2312" w:hint="eastAsia"/>
          <w:b/>
          <w:bCs/>
        </w:rPr>
        <w:t>支持国家试验区建设。</w:t>
      </w:r>
      <w:r>
        <w:rPr>
          <w:rFonts w:ascii="仿宋_GB2312" w:hAnsi="仿宋_GB2312" w:cs="仿宋_GB2312" w:hint="eastAsia"/>
        </w:rPr>
        <w:t>全力做好景德镇申遗各项工作任务资金保障，加强申遗等各类项目资金的监督管理，确保财政资金安全、高效使用，助推景德镇申遗目标圆满实现。</w:t>
      </w:r>
      <w:r>
        <w:rPr>
          <w:rFonts w:ascii="楷体_GB2312" w:eastAsia="楷体_GB2312" w:hAnsi="楷体_GB2312" w:cs="楷体_GB2312" w:hint="eastAsia"/>
          <w:b/>
          <w:bCs/>
        </w:rPr>
        <w:t>（责任科室：科教文体科、债务金融科；责任领导：柴立群、周志刚）</w:t>
      </w:r>
    </w:p>
    <w:p w:rsidR="009A2671" w:rsidRDefault="009A2671" w:rsidP="00B91C58">
      <w:pPr>
        <w:ind w:firstLineChars="200" w:firstLine="31680"/>
        <w:rPr>
          <w:rFonts w:ascii="仿宋_GB2312"/>
        </w:rPr>
      </w:pPr>
      <w:r>
        <w:rPr>
          <w:rFonts w:ascii="楷体_GB2312" w:eastAsia="楷体_GB2312" w:hAnsi="楷体_GB2312" w:cs="楷体_GB2312"/>
          <w:b/>
          <w:bCs/>
        </w:rPr>
        <w:t>14.</w:t>
      </w:r>
      <w:r>
        <w:rPr>
          <w:rFonts w:ascii="楷体_GB2312" w:eastAsia="楷体_GB2312" w:hAnsi="楷体_GB2312" w:cs="楷体_GB2312" w:hint="eastAsia"/>
          <w:b/>
          <w:bCs/>
        </w:rPr>
        <w:t>加强特色产业体系建设。</w:t>
      </w:r>
      <w:r>
        <w:rPr>
          <w:rFonts w:ascii="仿宋_GB2312" w:hAnsi="仿宋_GB2312" w:cs="仿宋_GB2312" w:hint="eastAsia"/>
        </w:rPr>
        <w:t>用好工业发展、陶瓷产业发展等专项资金、科技创新产业基金，拓宽与社会资本合作渠道，深化落实“</w:t>
      </w:r>
      <w:r>
        <w:rPr>
          <w:rFonts w:ascii="仿宋_GB2312" w:hAnsi="仿宋_GB2312" w:cs="仿宋_GB2312"/>
        </w:rPr>
        <w:t>1269</w:t>
      </w:r>
      <w:r>
        <w:rPr>
          <w:rFonts w:ascii="仿宋_GB2312" w:hAnsi="仿宋_GB2312" w:cs="仿宋_GB2312" w:hint="eastAsia"/>
        </w:rPr>
        <w:t>”行动计划，加快“</w:t>
      </w:r>
      <w:r>
        <w:rPr>
          <w:rFonts w:ascii="仿宋_GB2312" w:hAnsi="仿宋_GB2312" w:cs="仿宋_GB2312"/>
        </w:rPr>
        <w:t>1+2+N</w:t>
      </w:r>
      <w:r>
        <w:rPr>
          <w:rFonts w:ascii="仿宋_GB2312" w:hAnsi="仿宋_GB2312" w:cs="仿宋_GB2312" w:hint="eastAsia"/>
        </w:rPr>
        <w:t>”特色产业体系建设，推动产业结构优化升级，加快培育发展新质生产力。支持壮大数字经济产业，加快布局数据产品应用场景。</w:t>
      </w:r>
      <w:r>
        <w:rPr>
          <w:rFonts w:ascii="楷体_GB2312" w:eastAsia="楷体_GB2312" w:hAnsi="楷体_GB2312" w:cs="楷体_GB2312" w:hint="eastAsia"/>
          <w:b/>
          <w:bCs/>
        </w:rPr>
        <w:t>（责任科室：企业和资产管理科、经济建设科、科教文体科；责任领导：叶伟、王田生、周志刚）</w:t>
      </w:r>
    </w:p>
    <w:p w:rsidR="009A2671" w:rsidRDefault="009A2671" w:rsidP="00B91C58">
      <w:pPr>
        <w:ind w:firstLineChars="200" w:firstLine="31680"/>
        <w:rPr>
          <w:rFonts w:ascii="仿宋_GB2312"/>
        </w:rPr>
      </w:pPr>
      <w:r>
        <w:rPr>
          <w:rFonts w:ascii="楷体_GB2312" w:eastAsia="楷体_GB2312" w:hAnsi="楷体_GB2312" w:cs="楷体_GB2312"/>
          <w:b/>
          <w:bCs/>
        </w:rPr>
        <w:t>15.</w:t>
      </w:r>
      <w:r>
        <w:rPr>
          <w:rFonts w:ascii="楷体_GB2312" w:eastAsia="楷体_GB2312" w:hAnsi="楷体_GB2312" w:cs="楷体_GB2312" w:hint="eastAsia"/>
          <w:b/>
          <w:bCs/>
        </w:rPr>
        <w:t>加大科技创新支持。</w:t>
      </w:r>
      <w:r>
        <w:rPr>
          <w:rFonts w:ascii="仿宋_GB2312" w:hAnsi="仿宋_GB2312" w:cs="仿宋_GB2312" w:hint="eastAsia"/>
        </w:rPr>
        <w:t>发挥财政资金引领带动作用</w:t>
      </w:r>
      <w:r>
        <w:rPr>
          <w:rFonts w:ascii="仿宋_GB2312" w:hAnsi="宋体" w:cs="仿宋_GB2312" w:hint="eastAsia"/>
          <w:color w:val="000000"/>
          <w:kern w:val="0"/>
        </w:rPr>
        <w:t>，设立航空产业科技成果转化“先投后股”专项资金，推动金融资源和社会资本更多投向科技创新。全面落实好“专精特新”中小企业财政支持政策</w:t>
      </w:r>
      <w:r>
        <w:rPr>
          <w:rFonts w:ascii="仿宋_GB2312" w:hAnsi="仿宋_GB2312" w:cs="仿宋_GB2312" w:hint="eastAsia"/>
        </w:rPr>
        <w:t>，</w:t>
      </w:r>
      <w:r>
        <w:rPr>
          <w:rFonts w:ascii="仿宋_GB2312" w:cs="仿宋_GB2312" w:hint="eastAsia"/>
        </w:rPr>
        <w:t>支持</w:t>
      </w:r>
      <w:r>
        <w:rPr>
          <w:rFonts w:ascii="仿宋_GB2312" w:hAnsi="仿宋_GB2312" w:cs="仿宋_GB2312" w:hint="eastAsia"/>
        </w:rPr>
        <w:t>深化实施航空产业科技成果转化</w:t>
      </w:r>
      <w:r>
        <w:rPr>
          <w:rFonts w:ascii="仿宋_GB2312" w:hAnsi="宋体" w:cs="仿宋_GB2312" w:hint="eastAsia"/>
          <w:color w:val="000000"/>
          <w:kern w:val="0"/>
        </w:rPr>
        <w:t>，实施产业集群提能升级计划，长三角</w:t>
      </w:r>
      <w:r>
        <w:rPr>
          <w:rFonts w:ascii="仿宋_GB2312" w:hAnsi="宋体" w:cs="仿宋_GB2312"/>
          <w:color w:val="000000"/>
          <w:kern w:val="0"/>
        </w:rPr>
        <w:t>G60</w:t>
      </w:r>
      <w:r>
        <w:rPr>
          <w:rFonts w:ascii="仿宋_GB2312" w:hAnsi="宋体" w:cs="仿宋_GB2312" w:hint="eastAsia"/>
          <w:color w:val="000000"/>
          <w:kern w:val="0"/>
        </w:rPr>
        <w:t>科创走廊共建共育。</w:t>
      </w:r>
      <w:r>
        <w:rPr>
          <w:rFonts w:ascii="仿宋_GB2312" w:hAnsi="仿宋_GB2312" w:cs="仿宋_GB2312" w:hint="eastAsia"/>
        </w:rPr>
        <w:t>着力深化财政科技经费分配使用机制改革。</w:t>
      </w:r>
      <w:r>
        <w:rPr>
          <w:rFonts w:ascii="楷体_GB2312" w:eastAsia="楷体_GB2312" w:hAnsi="楷体_GB2312" w:cs="楷体_GB2312" w:hint="eastAsia"/>
          <w:b/>
          <w:bCs/>
        </w:rPr>
        <w:t>（责任科室：科教文体科、企业和资产管理科；责任领导：叶伟、周志刚）</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16.</w:t>
      </w:r>
      <w:r>
        <w:rPr>
          <w:rFonts w:ascii="楷体_GB2312" w:eastAsia="楷体_GB2312" w:hAnsi="楷体_GB2312" w:cs="楷体_GB2312" w:hint="eastAsia"/>
          <w:b/>
          <w:bCs/>
        </w:rPr>
        <w:t>全力支持扩大消费需求。</w:t>
      </w:r>
      <w:r>
        <w:rPr>
          <w:rFonts w:ascii="仿宋_GB2312" w:hAnsi="仿宋_GB2312" w:cs="仿宋_GB2312" w:hint="eastAsia"/>
        </w:rPr>
        <w:t>统筹用好超长期特别国债资金，更大力度扩围实施“两新”政策，支持实施提振消费专项行动，加大消费品以旧换新支持力度，优化简化补贴申报流程，加快资金拨付进度，切实发挥政策效能。</w:t>
      </w:r>
      <w:r>
        <w:rPr>
          <w:rFonts w:ascii="楷体_GB2312" w:eastAsia="楷体_GB2312" w:hAnsi="楷体_GB2312" w:cs="楷体_GB2312" w:hint="eastAsia"/>
          <w:b/>
          <w:bCs/>
        </w:rPr>
        <w:t>（责任科室：企业和资产管理科、经济建设科；责任领导：叶伟、柴立群、王田生）</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17.</w:t>
      </w:r>
      <w:r>
        <w:rPr>
          <w:rFonts w:ascii="楷体_GB2312" w:eastAsia="楷体_GB2312" w:hAnsi="楷体_GB2312" w:cs="楷体_GB2312" w:hint="eastAsia"/>
          <w:b/>
          <w:bCs/>
        </w:rPr>
        <w:t>优化政府采购营商环境。</w:t>
      </w:r>
      <w:r>
        <w:rPr>
          <w:rFonts w:ascii="仿宋_GB2312" w:hAnsi="仿宋_GB2312" w:cs="仿宋_GB2312" w:hint="eastAsia"/>
        </w:rPr>
        <w:t>全面落实政府采购支持中小企业发展政策，提升企业预留份额、价格扣除等方面支持比重，优化中小企业参与政府采购营商环境，切实助推中小企业健康发展。</w:t>
      </w:r>
      <w:r>
        <w:rPr>
          <w:rFonts w:ascii="楷体_GB2312" w:eastAsia="楷体_GB2312" w:hAnsi="楷体_GB2312" w:cs="楷体_GB2312" w:hint="eastAsia"/>
          <w:b/>
          <w:bCs/>
        </w:rPr>
        <w:t>（责任科室：政策法规和采购监管科；责任领导：柴立群）</w:t>
      </w:r>
    </w:p>
    <w:p w:rsidR="009A2671" w:rsidRDefault="009A2671" w:rsidP="00B91C58">
      <w:pPr>
        <w:ind w:firstLineChars="200" w:firstLine="31680"/>
        <w:rPr>
          <w:rFonts w:ascii="黑体" w:eastAsia="黑体" w:hAnsi="黑体"/>
        </w:rPr>
      </w:pPr>
      <w:r>
        <w:rPr>
          <w:rFonts w:ascii="黑体" w:eastAsia="黑体" w:hAnsi="黑体" w:cs="黑体" w:hint="eastAsia"/>
        </w:rPr>
        <w:t>五、坚持人民至上，持续提升民生保障水平</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18.</w:t>
      </w:r>
      <w:r>
        <w:rPr>
          <w:rFonts w:ascii="楷体_GB2312" w:eastAsia="楷体_GB2312" w:hAnsi="楷体_GB2312" w:cs="楷体_GB2312" w:hint="eastAsia"/>
          <w:b/>
          <w:bCs/>
        </w:rPr>
        <w:t>强化民生投入保障。</w:t>
      </w:r>
      <w:r>
        <w:rPr>
          <w:rFonts w:ascii="仿宋_GB2312" w:hAnsi="仿宋_GB2312" w:cs="仿宋_GB2312" w:hint="eastAsia"/>
        </w:rPr>
        <w:t>坚持量力而行、量入为出，加强普惠性、基础性、兜底性民生建设，完善民生保障体系，统筹资金支持办好</w:t>
      </w:r>
      <w:r>
        <w:rPr>
          <w:rFonts w:ascii="仿宋_GB2312" w:hAnsi="仿宋_GB2312" w:cs="仿宋_GB2312"/>
        </w:rPr>
        <w:t>2025</w:t>
      </w:r>
      <w:r>
        <w:rPr>
          <w:rFonts w:ascii="仿宋_GB2312" w:hAnsi="仿宋_GB2312" w:cs="仿宋_GB2312" w:hint="eastAsia"/>
        </w:rPr>
        <w:t>年民生实事。</w:t>
      </w:r>
      <w:r>
        <w:rPr>
          <w:rFonts w:ascii="楷体_GB2312" w:eastAsia="楷体_GB2312" w:hAnsi="楷体_GB2312" w:cs="楷体_GB2312" w:hint="eastAsia"/>
          <w:b/>
          <w:bCs/>
        </w:rPr>
        <w:t>（责任科室：预算科、社会保障科、国库科、科教文体科、经济建设科、政法科、农业农村科；责任领导：曹炜华、叶伟、柴立群、王田生、周志刚）</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19.</w:t>
      </w:r>
      <w:r>
        <w:rPr>
          <w:rFonts w:ascii="楷体_GB2312" w:eastAsia="楷体_GB2312" w:hAnsi="楷体_GB2312" w:cs="楷体_GB2312" w:hint="eastAsia"/>
          <w:b/>
          <w:bCs/>
        </w:rPr>
        <w:t>推进乡村全面振兴。</w:t>
      </w:r>
      <w:r>
        <w:rPr>
          <w:rFonts w:ascii="仿宋_GB2312" w:hAnsi="仿宋_GB2312" w:cs="仿宋_GB2312" w:hint="eastAsia"/>
        </w:rPr>
        <w:t>统筹用好各类涉农专项资金，持续巩固拓展脱贫攻坚成果同乡村振兴有效衔接，坚决守住不发生规模性返贫底线。支持开展新一轮粮食产能提升行动，扎实推进高标准农田建设，切实保障国家粮食安全。支持乡村产业发展、乡村建设、乡村治理等乡村振兴领域重点任务有序推进。</w:t>
      </w:r>
      <w:r>
        <w:rPr>
          <w:rFonts w:ascii="楷体_GB2312" w:eastAsia="楷体_GB2312" w:hAnsi="楷体_GB2312" w:cs="楷体_GB2312" w:hint="eastAsia"/>
          <w:b/>
          <w:bCs/>
        </w:rPr>
        <w:t>（责任科室：预算科、农业农村科；责任领导：曹炜华、柴立群）</w:t>
      </w:r>
    </w:p>
    <w:p w:rsidR="009A2671" w:rsidRDefault="009A2671" w:rsidP="00B91C58">
      <w:pPr>
        <w:ind w:firstLineChars="200" w:firstLine="31680"/>
        <w:rPr>
          <w:rFonts w:ascii="仿宋_GB2312"/>
        </w:rPr>
      </w:pPr>
      <w:r>
        <w:rPr>
          <w:rFonts w:ascii="楷体_GB2312" w:eastAsia="楷体_GB2312" w:hAnsi="楷体_GB2312" w:cs="楷体_GB2312"/>
          <w:b/>
          <w:bCs/>
        </w:rPr>
        <w:t>20.</w:t>
      </w:r>
      <w:r>
        <w:rPr>
          <w:rFonts w:ascii="楷体_GB2312" w:eastAsia="楷体_GB2312" w:hAnsi="楷体_GB2312" w:cs="楷体_GB2312" w:hint="eastAsia"/>
          <w:b/>
          <w:bCs/>
        </w:rPr>
        <w:t>落实就业优先战略。</w:t>
      </w:r>
      <w:r>
        <w:rPr>
          <w:rFonts w:ascii="仿宋_GB2312" w:hAnsi="仿宋_GB2312" w:cs="仿宋_GB2312" w:hint="eastAsia"/>
        </w:rPr>
        <w:t>优化财政支持就业创业政策体系，统筹用好就业补助资金、贷款贴息、职业技能提升行动资金和失业保险基金。支持高校毕业、退役军人、农民工、脱贫人口等重点群体就业创业。支持开展多层次职业技能培训，高标准建设“</w:t>
      </w:r>
      <w:r>
        <w:rPr>
          <w:rFonts w:ascii="仿宋_GB2312" w:hAnsi="仿宋_GB2312" w:cs="仿宋_GB2312"/>
        </w:rPr>
        <w:t>5+2</w:t>
      </w:r>
      <w:r>
        <w:rPr>
          <w:rFonts w:ascii="仿宋_GB2312" w:hAnsi="仿宋_GB2312" w:cs="仿宋_GB2312" w:hint="eastAsia"/>
        </w:rPr>
        <w:t>”就业之家，提高公共服务供给水平。</w:t>
      </w:r>
      <w:r>
        <w:rPr>
          <w:rFonts w:ascii="楷体_GB2312" w:eastAsia="楷体_GB2312" w:hAnsi="楷体_GB2312" w:cs="楷体_GB2312" w:hint="eastAsia"/>
          <w:b/>
          <w:bCs/>
        </w:rPr>
        <w:t>（责任科室：社会保障科、债务金融科；责任领导：曹炜华、柴立群）</w:t>
      </w:r>
    </w:p>
    <w:p w:rsidR="009A2671" w:rsidRDefault="009A2671" w:rsidP="00B91C58">
      <w:pPr>
        <w:ind w:firstLineChars="200" w:firstLine="31680"/>
      </w:pPr>
      <w:r>
        <w:rPr>
          <w:rFonts w:ascii="楷体_GB2312" w:eastAsia="楷体_GB2312" w:hAnsi="楷体_GB2312" w:cs="楷体_GB2312"/>
          <w:b/>
          <w:bCs/>
        </w:rPr>
        <w:t>21.</w:t>
      </w:r>
      <w:r>
        <w:rPr>
          <w:rFonts w:ascii="楷体_GB2312" w:eastAsia="楷体_GB2312" w:hAnsi="楷体_GB2312" w:cs="楷体_GB2312" w:hint="eastAsia"/>
          <w:b/>
          <w:bCs/>
        </w:rPr>
        <w:t>健全社会保障体系。</w:t>
      </w:r>
      <w:r>
        <w:rPr>
          <w:rFonts w:ascii="仿宋_GB2312" w:hAnsi="仿宋_GB2312" w:cs="仿宋_GB2312" w:hint="eastAsia"/>
        </w:rPr>
        <w:t>加强社保基金管理，确保基本养老保险待遇按时足额发放，提高退休人员基本养老金、城乡居民基础养老金和城乡居民医保财政补助标准，健全城乡困难残疾人生活补贴、城乡重度残疾人护理补贴制度，切实保障困难群众基本生活。</w:t>
      </w:r>
      <w:r>
        <w:rPr>
          <w:rFonts w:ascii="楷体_GB2312" w:eastAsia="楷体_GB2312" w:hAnsi="楷体_GB2312" w:cs="楷体_GB2312" w:hint="eastAsia"/>
          <w:b/>
          <w:bCs/>
        </w:rPr>
        <w:t>（责任科室：社会保障科；责任领导：曹炜华）</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22.</w:t>
      </w:r>
      <w:r>
        <w:rPr>
          <w:rFonts w:ascii="楷体_GB2312" w:eastAsia="楷体_GB2312" w:hAnsi="楷体_GB2312" w:cs="楷体_GB2312" w:hint="eastAsia"/>
          <w:b/>
          <w:bCs/>
        </w:rPr>
        <w:t>支持文化教育发展。</w:t>
      </w:r>
      <w:r>
        <w:rPr>
          <w:rFonts w:ascii="仿宋_GB2312" w:hAnsi="宋体" w:cs="仿宋_GB2312" w:hint="eastAsia"/>
          <w:color w:val="000000"/>
          <w:kern w:val="0"/>
        </w:rPr>
        <w:t>进一步配合做好市区学前教育、义务教育管理体制改革，落实县区在发展学前教育、义务教育的主体责任，</w:t>
      </w:r>
      <w:r>
        <w:rPr>
          <w:rFonts w:ascii="仿宋_GB2312" w:cs="仿宋_GB2312" w:hint="eastAsia"/>
        </w:rPr>
        <w:t>提高珠山区、昌江区人均公共服务支出。支持公共文化事业发展，支</w:t>
      </w:r>
      <w:r>
        <w:rPr>
          <w:rFonts w:ascii="仿宋_GB2312" w:hAnsi="仿宋_GB2312" w:cs="仿宋_GB2312" w:hint="eastAsia"/>
        </w:rPr>
        <w:t>持陶阳里历史文化旅游区创</w:t>
      </w:r>
      <w:r>
        <w:rPr>
          <w:rFonts w:ascii="仿宋_GB2312" w:hAnsi="仿宋_GB2312" w:cs="仿宋_GB2312"/>
        </w:rPr>
        <w:t>5A</w:t>
      </w:r>
      <w:r>
        <w:rPr>
          <w:rFonts w:ascii="仿宋_GB2312" w:hAnsi="仿宋_GB2312" w:cs="仿宋_GB2312" w:hint="eastAsia"/>
        </w:rPr>
        <w:t>，做好“三馆一站”向社会免费开放资金保障等工作。</w:t>
      </w:r>
      <w:r>
        <w:rPr>
          <w:rFonts w:ascii="楷体_GB2312" w:eastAsia="楷体_GB2312" w:hAnsi="楷体_GB2312" w:cs="楷体_GB2312" w:hint="eastAsia"/>
          <w:b/>
          <w:bCs/>
        </w:rPr>
        <w:t>（责任科室：科教文体科；责任领导：周志刚）</w:t>
      </w:r>
    </w:p>
    <w:p w:rsidR="009A2671" w:rsidRDefault="009A2671" w:rsidP="00B91C58">
      <w:pPr>
        <w:ind w:firstLineChars="200" w:firstLine="31680"/>
        <w:rPr>
          <w:rFonts w:ascii="黑体" w:eastAsia="黑体" w:hAnsi="黑体"/>
        </w:rPr>
      </w:pPr>
      <w:r>
        <w:rPr>
          <w:rFonts w:ascii="黑体" w:eastAsia="黑体" w:hAnsi="黑体" w:cs="黑体" w:hint="eastAsia"/>
        </w:rPr>
        <w:t>六、坚持守正创新，努力提升财政治理效能</w:t>
      </w:r>
    </w:p>
    <w:p w:rsidR="009A2671" w:rsidRDefault="009A2671" w:rsidP="00B91C58">
      <w:pPr>
        <w:ind w:firstLineChars="200" w:firstLine="31680"/>
        <w:rPr>
          <w:rFonts w:ascii="仿宋_GB2312"/>
        </w:rPr>
      </w:pPr>
      <w:r>
        <w:rPr>
          <w:rFonts w:ascii="楷体_GB2312" w:eastAsia="楷体_GB2312" w:hAnsi="楷体_GB2312" w:cs="楷体_GB2312"/>
          <w:b/>
          <w:bCs/>
        </w:rPr>
        <w:t>23.</w:t>
      </w:r>
      <w:r>
        <w:rPr>
          <w:rFonts w:ascii="楷体_GB2312" w:eastAsia="楷体_GB2312" w:hAnsi="楷体_GB2312" w:cs="楷体_GB2312" w:hint="eastAsia"/>
          <w:b/>
          <w:bCs/>
        </w:rPr>
        <w:t>深化财政体制改革。</w:t>
      </w:r>
      <w:r>
        <w:rPr>
          <w:rFonts w:ascii="仿宋_GB2312" w:hAnsi="仿宋_GB2312" w:cs="仿宋_GB2312" w:hint="eastAsia"/>
          <w:color w:val="000000"/>
        </w:rPr>
        <w:t>全面落实省以下财政体制改革任务，进一步理顺市以下政府间收入关系，合理划分市与县（市、区）财政事权和支出责任，</w:t>
      </w:r>
      <w:r>
        <w:rPr>
          <w:rFonts w:ascii="仿宋_GB2312" w:hAnsi="仿宋_GB2312" w:cs="仿宋_GB2312" w:hint="eastAsia"/>
        </w:rPr>
        <w:t>对财政过度或超前保障的部分领域支出事项逐步退坡退出，着力</w:t>
      </w:r>
      <w:r>
        <w:rPr>
          <w:rFonts w:ascii="仿宋_GB2312" w:hAnsi="仿宋_GB2312" w:cs="仿宋_GB2312" w:hint="eastAsia"/>
          <w:color w:val="000000"/>
        </w:rPr>
        <w:t>提高人均公共服务均等化水平。加强县区财政运行业务指导，强化乡镇财政资金管理，提升基层财政管理水平。</w:t>
      </w:r>
      <w:r>
        <w:rPr>
          <w:rFonts w:ascii="楷体_GB2312" w:eastAsia="楷体_GB2312" w:hAnsi="楷体_GB2312" w:cs="楷体_GB2312" w:hint="eastAsia"/>
          <w:b/>
          <w:bCs/>
        </w:rPr>
        <w:t>（责任科室：预算科、农业农村科；责任领导：曹炜华、柴立群）</w:t>
      </w:r>
    </w:p>
    <w:p w:rsidR="009A2671" w:rsidRDefault="009A2671" w:rsidP="00B91C58">
      <w:pPr>
        <w:ind w:firstLineChars="200" w:firstLine="31680"/>
        <w:rPr>
          <w:rFonts w:ascii="仿宋_GB2312"/>
        </w:rPr>
      </w:pPr>
      <w:r>
        <w:rPr>
          <w:rFonts w:ascii="楷体_GB2312" w:eastAsia="楷体_GB2312" w:hAnsi="楷体_GB2312" w:cs="楷体_GB2312"/>
          <w:b/>
          <w:bCs/>
        </w:rPr>
        <w:t>24.</w:t>
      </w:r>
      <w:r>
        <w:rPr>
          <w:rFonts w:ascii="楷体_GB2312" w:eastAsia="楷体_GB2312" w:hAnsi="楷体_GB2312" w:cs="楷体_GB2312" w:hint="eastAsia"/>
          <w:b/>
          <w:bCs/>
        </w:rPr>
        <w:t>推进重点领域改革。</w:t>
      </w:r>
      <w:r>
        <w:rPr>
          <w:rFonts w:ascii="仿宋_GB2312" w:hAnsi="仿宋_GB2312" w:cs="仿宋_GB2312" w:hint="eastAsia"/>
        </w:rPr>
        <w:t>持续深化零基预算改革，加快推进各项零基预算改革配套管理措施落地落细。持续</w:t>
      </w:r>
      <w:r>
        <w:rPr>
          <w:rFonts w:ascii="仿宋_GB2312" w:hAnsi="仿宋_GB2312" w:cs="仿宋_GB2312" w:hint="eastAsia"/>
          <w:color w:val="000000"/>
        </w:rPr>
        <w:t>加强编制资源优化配置，拓展非编人员清理规范范围，精兵简政缩减财政负担。</w:t>
      </w:r>
      <w:r>
        <w:rPr>
          <w:rFonts w:ascii="楷体_GB2312" w:eastAsia="楷体_GB2312" w:hAnsi="楷体_GB2312" w:cs="楷体_GB2312" w:hint="eastAsia"/>
          <w:b/>
          <w:bCs/>
        </w:rPr>
        <w:t>（责任科室：预算科、综合科；责任领导：曹炜华、柴立群）</w:t>
      </w:r>
    </w:p>
    <w:p w:rsidR="009A2671" w:rsidRDefault="009A2671" w:rsidP="00B91C58">
      <w:pPr>
        <w:ind w:firstLineChars="200" w:firstLine="31680"/>
        <w:rPr>
          <w:rFonts w:ascii="仿宋_GB2312"/>
        </w:rPr>
      </w:pPr>
      <w:r>
        <w:rPr>
          <w:rFonts w:ascii="楷体_GB2312" w:eastAsia="楷体_GB2312" w:hAnsi="楷体_GB2312" w:cs="楷体_GB2312"/>
          <w:b/>
          <w:bCs/>
        </w:rPr>
        <w:t>25.</w:t>
      </w:r>
      <w:r>
        <w:rPr>
          <w:rFonts w:ascii="楷体_GB2312" w:eastAsia="楷体_GB2312" w:hAnsi="楷体_GB2312" w:cs="楷体_GB2312" w:hint="eastAsia"/>
          <w:b/>
          <w:bCs/>
        </w:rPr>
        <w:t>深化预算绩效管理。</w:t>
      </w:r>
      <w:r>
        <w:rPr>
          <w:rFonts w:ascii="仿宋_GB2312" w:hAnsi="仿宋_GB2312" w:cs="仿宋_GB2312" w:hint="eastAsia"/>
        </w:rPr>
        <w:t>加强对地下管廊、安可替代、医保基金、窗口单位临聘人员等项目开展绩效评价，探索开展重大政策绩效评价，继续试点重大项目成本绩效分析。选取部分部门开展全过程预算绩效管理。完善预算编制与绩效评价结果、预算执行、监督检查、过紧日子评估情况等挂钩机制。</w:t>
      </w:r>
      <w:r>
        <w:rPr>
          <w:rFonts w:ascii="楷体_GB2312" w:eastAsia="楷体_GB2312" w:hAnsi="楷体_GB2312" w:cs="楷体_GB2312" w:hint="eastAsia"/>
          <w:b/>
          <w:bCs/>
        </w:rPr>
        <w:t>（责任科室：监督评价科、预算科；责任领导：柴立群、钟仁金）</w:t>
      </w:r>
    </w:p>
    <w:p w:rsidR="009A2671" w:rsidRDefault="009A2671" w:rsidP="00B91C58">
      <w:pPr>
        <w:ind w:firstLineChars="200" w:firstLine="31680"/>
        <w:rPr>
          <w:rFonts w:ascii="仿宋_GB2312"/>
        </w:rPr>
      </w:pPr>
      <w:r>
        <w:rPr>
          <w:rFonts w:ascii="楷体_GB2312" w:eastAsia="楷体_GB2312" w:hAnsi="楷体_GB2312" w:cs="楷体_GB2312"/>
          <w:b/>
          <w:bCs/>
        </w:rPr>
        <w:t>26.</w:t>
      </w:r>
      <w:r>
        <w:rPr>
          <w:rFonts w:ascii="楷体_GB2312" w:eastAsia="楷体_GB2312" w:hAnsi="楷体_GB2312" w:cs="楷体_GB2312" w:hint="eastAsia"/>
          <w:b/>
          <w:bCs/>
        </w:rPr>
        <w:t>持续加强项目管理。</w:t>
      </w:r>
      <w:r>
        <w:rPr>
          <w:rFonts w:ascii="仿宋_GB2312" w:hAnsi="仿宋_GB2312" w:cs="仿宋_GB2312" w:hint="eastAsia"/>
        </w:rPr>
        <w:t>加强市级政府投资项目预、决算和财政投资评审管理，把好项目储备的“入口关”，推动市级财政项目库滚动管理。探索建立“大评审”工作机制，逐步实现项目评审关口前移，逐步提升项目实施中财政的参与度。逐步建立财政评审标准体系，形成预算项目全生命周期管理模式。</w:t>
      </w:r>
      <w:r>
        <w:rPr>
          <w:rFonts w:ascii="楷体_GB2312" w:eastAsia="楷体_GB2312" w:hAnsi="楷体_GB2312" w:cs="楷体_GB2312" w:hint="eastAsia"/>
          <w:b/>
          <w:bCs/>
        </w:rPr>
        <w:t>（责任科室：预算科、预算评价中心；责任领导：曹炜华、柴立群）</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27.</w:t>
      </w:r>
      <w:r>
        <w:rPr>
          <w:rFonts w:ascii="楷体_GB2312" w:eastAsia="楷体_GB2312" w:hAnsi="楷体_GB2312" w:cs="楷体_GB2312" w:hint="eastAsia"/>
          <w:b/>
          <w:bCs/>
        </w:rPr>
        <w:t>加快数字财政建设。</w:t>
      </w:r>
      <w:r>
        <w:rPr>
          <w:rFonts w:ascii="仿宋_GB2312" w:hAnsi="仿宋_GB2312" w:cs="仿宋_GB2312" w:hint="eastAsia"/>
        </w:rPr>
        <w:t>升级完善预算管理一体化系统</w:t>
      </w:r>
      <w:r>
        <w:rPr>
          <w:rFonts w:ascii="仿宋_GB2312" w:hAnsi="仿宋_GB2312" w:cs="仿宋_GB2312"/>
        </w:rPr>
        <w:t>2.0</w:t>
      </w:r>
      <w:r>
        <w:rPr>
          <w:rFonts w:ascii="仿宋_GB2312" w:hAnsi="仿宋_GB2312" w:cs="仿宋_GB2312" w:hint="eastAsia"/>
        </w:rPr>
        <w:t>，稳步推进新业务功能开发和上线运行。依托一体化系统数据开展财政运行监测，提高资金管理效率和数字化监测水平。夯实网络信息安全工作基础，确保财政系统和财政资金的安全。</w:t>
      </w:r>
      <w:r>
        <w:rPr>
          <w:rFonts w:ascii="楷体_GB2312" w:eastAsia="楷体_GB2312" w:hAnsi="楷体_GB2312" w:cs="楷体_GB2312" w:hint="eastAsia"/>
          <w:b/>
          <w:bCs/>
        </w:rPr>
        <w:t>（责任科室：资金运行中心、国库科、预算科、公共服务中心；责任领导：叶伟、柴立群、王田生）</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28.</w:t>
      </w:r>
      <w:r>
        <w:rPr>
          <w:rFonts w:ascii="楷体_GB2312" w:eastAsia="楷体_GB2312" w:hAnsi="楷体_GB2312" w:cs="楷体_GB2312" w:hint="eastAsia"/>
          <w:b/>
          <w:bCs/>
        </w:rPr>
        <w:t>加大财会监督力度。</w:t>
      </w:r>
      <w:r>
        <w:rPr>
          <w:rFonts w:ascii="仿宋_GB2312" w:hAnsi="仿宋_GB2312" w:cs="仿宋_GB2312" w:hint="eastAsia"/>
        </w:rPr>
        <w:t>深入推进“大监督”长效机制建设，持续完善财会监督与其他各类监督贯通协调的工作机制。加强对重点部门、重点项目资金使用情况的监督检查，扎实开展地方预决算公开情况专项检查。巩固群众身边不正之风和腐败问题集中整治成果，扎实开展违规套取资金问题专项整治，加强殡葬领域腐败乱象问题专项治理，严肃查处违规违纪行为。</w:t>
      </w:r>
      <w:r>
        <w:rPr>
          <w:rFonts w:ascii="楷体_GB2312" w:eastAsia="楷体_GB2312" w:hAnsi="楷体_GB2312" w:cs="楷体_GB2312" w:hint="eastAsia"/>
          <w:b/>
          <w:bCs/>
        </w:rPr>
        <w:t>（责任科室：监督评价科、预算科、国库科、行政科、税费管理科、社会保障科；责任领导：曹炜华、叶伟、柴立群、钟仁金、周志刚）</w:t>
      </w:r>
    </w:p>
    <w:p w:rsidR="009A2671" w:rsidRDefault="009A2671" w:rsidP="00B91C58">
      <w:pPr>
        <w:ind w:firstLineChars="200" w:firstLine="31680"/>
        <w:rPr>
          <w:rFonts w:ascii="黑体" w:eastAsia="黑体" w:hAnsi="黑体"/>
        </w:rPr>
      </w:pPr>
      <w:r>
        <w:rPr>
          <w:rFonts w:ascii="黑体" w:eastAsia="黑体" w:hAnsi="黑体" w:cs="黑体" w:hint="eastAsia"/>
        </w:rPr>
        <w:t>七、坚决扛牢政治责任，全力推进全面从严治党</w:t>
      </w:r>
    </w:p>
    <w:p w:rsidR="009A2671" w:rsidRDefault="009A2671" w:rsidP="00B91C58">
      <w:pPr>
        <w:ind w:firstLineChars="200" w:firstLine="31680"/>
        <w:rPr>
          <w:rFonts w:ascii="仿宋_GB2312"/>
        </w:rPr>
      </w:pPr>
      <w:r>
        <w:rPr>
          <w:rFonts w:ascii="楷体_GB2312" w:eastAsia="楷体_GB2312" w:hAnsi="楷体_GB2312" w:cs="楷体_GB2312"/>
          <w:b/>
          <w:bCs/>
        </w:rPr>
        <w:t>29.</w:t>
      </w:r>
      <w:r>
        <w:rPr>
          <w:rFonts w:ascii="楷体_GB2312" w:eastAsia="楷体_GB2312" w:hAnsi="楷体_GB2312" w:cs="楷体_GB2312" w:hint="eastAsia"/>
          <w:b/>
          <w:bCs/>
        </w:rPr>
        <w:t>深化政治机关建设。</w:t>
      </w:r>
      <w:r>
        <w:rPr>
          <w:rFonts w:ascii="仿宋_GB2312" w:hAnsi="仿宋_GB2312" w:cs="仿宋_GB2312" w:hint="eastAsia"/>
        </w:rPr>
        <w:t>牢牢把握财政工作政治属性和财政部门政治定位，严格执行“第一议题”制度、党组理论学习中心组学习会制度，坚持用习近平新时代中国特色社会主义思想凝心铸魂，引导财政干部深刻领悟“两个确立”的决定性意义，增强“四个意识”、坚定“四个自信”、做到“两个维护”。</w:t>
      </w:r>
      <w:r>
        <w:rPr>
          <w:rFonts w:ascii="楷体_GB2312" w:eastAsia="楷体_GB2312" w:hAnsi="楷体_GB2312" w:cs="楷体_GB2312" w:hint="eastAsia"/>
          <w:b/>
          <w:bCs/>
        </w:rPr>
        <w:t>（责任科室：组织人事科；责任领导：钟仁金）</w:t>
      </w:r>
    </w:p>
    <w:p w:rsidR="009A2671" w:rsidRDefault="009A2671" w:rsidP="00B91C58">
      <w:pPr>
        <w:ind w:firstLineChars="200" w:firstLine="31680"/>
        <w:rPr>
          <w:rFonts w:ascii="仿宋_GB2312"/>
        </w:rPr>
      </w:pPr>
      <w:r>
        <w:rPr>
          <w:rFonts w:ascii="楷体_GB2312" w:eastAsia="楷体_GB2312" w:hAnsi="楷体_GB2312" w:cs="楷体_GB2312"/>
          <w:b/>
          <w:bCs/>
        </w:rPr>
        <w:t>30.</w:t>
      </w:r>
      <w:r>
        <w:rPr>
          <w:rFonts w:ascii="楷体_GB2312" w:eastAsia="楷体_GB2312" w:hAnsi="楷体_GB2312" w:cs="楷体_GB2312" w:hint="eastAsia"/>
          <w:b/>
          <w:bCs/>
        </w:rPr>
        <w:t>筑牢基层党建根基。</w:t>
      </w:r>
      <w:r>
        <w:rPr>
          <w:rFonts w:ascii="仿宋_GB2312" w:hAnsi="仿宋_GB2312" w:cs="仿宋_GB2312" w:hint="eastAsia"/>
        </w:rPr>
        <w:t>持续完善党建与业务深度融合机制，坚持党建和财政业务同谋划、同部署、同落实，在全面深化改革实践中更好发挥基层党组织战斗堡垒和党员先锋模范作用。严格落实意识形态工作责任制，压实党建工作责任，指导行业党组织抓好党建工作。</w:t>
      </w:r>
      <w:r>
        <w:rPr>
          <w:rFonts w:ascii="楷体_GB2312" w:eastAsia="楷体_GB2312" w:hAnsi="楷体_GB2312" w:cs="楷体_GB2312" w:hint="eastAsia"/>
          <w:b/>
          <w:bCs/>
        </w:rPr>
        <w:t>（责任科室：机关党委、组织人事科；责任领导：钟仁金）</w:t>
      </w:r>
    </w:p>
    <w:p w:rsidR="009A2671" w:rsidRDefault="009A2671" w:rsidP="00B91C58">
      <w:pPr>
        <w:ind w:firstLineChars="200" w:firstLine="31680"/>
        <w:rPr>
          <w:rFonts w:ascii="仿宋_GB2312"/>
        </w:rPr>
      </w:pPr>
      <w:r>
        <w:rPr>
          <w:rFonts w:ascii="楷体_GB2312" w:eastAsia="楷体_GB2312" w:hAnsi="楷体_GB2312" w:cs="楷体_GB2312"/>
          <w:b/>
          <w:bCs/>
        </w:rPr>
        <w:t>31.</w:t>
      </w:r>
      <w:r>
        <w:rPr>
          <w:rFonts w:ascii="楷体_GB2312" w:eastAsia="楷体_GB2312" w:hAnsi="楷体_GB2312" w:cs="楷体_GB2312" w:hint="eastAsia"/>
          <w:b/>
          <w:bCs/>
        </w:rPr>
        <w:t>营造良好政治生态。</w:t>
      </w:r>
      <w:r>
        <w:rPr>
          <w:rFonts w:ascii="仿宋_GB2312" w:hAnsi="仿宋_GB2312" w:cs="仿宋_GB2312" w:hint="eastAsia"/>
        </w:rPr>
        <w:t>落实全面从严治党要求，坚决扛起管党治党政治责任，组织开展中央八项规定精神及其实施细则学习教育，持之以恒推进党风廉政建设，一体推进不敢腐、不能腐、不想腐，坚决铲除腐败滋生土壤，全面巩固风清气正的良好政治生态。持续深化纠治“四风”，严肃财经纪律，维护财经秩序。</w:t>
      </w:r>
      <w:r>
        <w:rPr>
          <w:rFonts w:ascii="楷体_GB2312" w:eastAsia="楷体_GB2312" w:hAnsi="楷体_GB2312" w:cs="楷体_GB2312" w:hint="eastAsia"/>
          <w:b/>
          <w:bCs/>
        </w:rPr>
        <w:t>（责任科室：机关党委；责任领导：钟仁金）</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32.</w:t>
      </w:r>
      <w:r>
        <w:rPr>
          <w:rFonts w:ascii="楷体_GB2312" w:eastAsia="楷体_GB2312" w:hAnsi="楷体_GB2312" w:cs="楷体_GB2312" w:hint="eastAsia"/>
          <w:b/>
          <w:bCs/>
        </w:rPr>
        <w:t>强化干部队伍建设。</w:t>
      </w:r>
      <w:r>
        <w:rPr>
          <w:rFonts w:ascii="仿宋_GB2312" w:hAnsi="仿宋_GB2312" w:cs="仿宋_GB2312" w:hint="eastAsia"/>
        </w:rPr>
        <w:t>坚持党管干部原则，统筹做好干部选育管用工作，进一步优化干部队伍结构。常态化开展“财思课堂”等各类学习教育培训活动，着力提升财政干部综合能力。强化业务培训，推进预算一体化业务培训和会计、财务人员培训，提升基层财务人员素质和能力。</w:t>
      </w:r>
      <w:r>
        <w:rPr>
          <w:rFonts w:ascii="楷体_GB2312" w:eastAsia="楷体_GB2312" w:hAnsi="楷体_GB2312" w:cs="楷体_GB2312" w:hint="eastAsia"/>
          <w:b/>
          <w:bCs/>
        </w:rPr>
        <w:t>（责任科室：组织人事科、会计科、资金运行中心；责任领导：叶伟、钟仁金、陈颂明）</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33.</w:t>
      </w:r>
      <w:r>
        <w:rPr>
          <w:rFonts w:ascii="楷体_GB2312" w:eastAsia="楷体_GB2312" w:hAnsi="楷体_GB2312" w:cs="楷体_GB2312" w:hint="eastAsia"/>
          <w:b/>
          <w:bCs/>
        </w:rPr>
        <w:t>强化法治财政建设。</w:t>
      </w:r>
      <w:r>
        <w:rPr>
          <w:rFonts w:ascii="仿宋_GB2312" w:hAnsi="仿宋_GB2312" w:cs="仿宋_GB2312" w:hint="eastAsia"/>
        </w:rPr>
        <w:t>坚决贯彻《预算法》及其实施条例，自觉接受人大监督，不断提升财政工作法治化、科学化、标准化、规范化水平。全面落实普法责任制，完善财政行政处罚程序，规范财政执法行为，依法化解矛盾纠纷。加强重大行政执法决定和政策文件法制审核。</w:t>
      </w:r>
      <w:r>
        <w:rPr>
          <w:rFonts w:ascii="楷体_GB2312" w:eastAsia="楷体_GB2312" w:hAnsi="楷体_GB2312" w:cs="楷体_GB2312" w:hint="eastAsia"/>
          <w:b/>
          <w:bCs/>
        </w:rPr>
        <w:t>（责任科室：办公室、预算科、政策法规和采购监管科；责任领导：柴立群、钟仁金）</w:t>
      </w:r>
    </w:p>
    <w:p w:rsidR="009A2671" w:rsidRDefault="009A2671" w:rsidP="00B91C58">
      <w:pPr>
        <w:ind w:firstLineChars="200" w:firstLine="31680"/>
        <w:rPr>
          <w:rFonts w:ascii="楷体_GB2312" w:eastAsia="楷体_GB2312" w:hAnsi="楷体_GB2312"/>
          <w:b/>
          <w:bCs/>
        </w:rPr>
      </w:pPr>
      <w:r>
        <w:rPr>
          <w:rFonts w:ascii="楷体_GB2312" w:eastAsia="楷体_GB2312" w:hAnsi="楷体_GB2312" w:cs="楷体_GB2312"/>
          <w:b/>
          <w:bCs/>
        </w:rPr>
        <w:t>34.</w:t>
      </w:r>
      <w:r>
        <w:rPr>
          <w:rFonts w:ascii="楷体_GB2312" w:eastAsia="楷体_GB2312" w:hAnsi="楷体_GB2312" w:cs="楷体_GB2312" w:hint="eastAsia"/>
          <w:b/>
          <w:bCs/>
        </w:rPr>
        <w:t>加强机关内部建设。</w:t>
      </w:r>
      <w:r>
        <w:rPr>
          <w:rFonts w:ascii="仿宋_GB2312" w:hAnsi="仿宋_GB2312" w:cs="仿宋_GB2312" w:hint="eastAsia"/>
        </w:rPr>
        <w:t>加强机关事务管理，严格执行各项财务制度，规范机关财务管理，加强信访法治化建设，扎实做好安全生产、保密教育、来访接访等各项工作，统筹做好平安建设、政府绩效、机关节能、文明单位创建等各项考核工作，加强政务信息宣传，抓好督查督办督导，全面提高“三服务”水平。</w:t>
      </w:r>
      <w:r>
        <w:rPr>
          <w:rFonts w:ascii="楷体_GB2312" w:eastAsia="楷体_GB2312" w:hAnsi="楷体_GB2312" w:cs="楷体_GB2312" w:hint="eastAsia"/>
          <w:b/>
          <w:bCs/>
        </w:rPr>
        <w:t>（责任科室：办公室；责任领导：钟仁金）</w:t>
      </w:r>
    </w:p>
    <w:p w:rsidR="009A2671" w:rsidRDefault="009A2671" w:rsidP="00043A98">
      <w:pPr>
        <w:pStyle w:val="BodyText"/>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B91C58">
      <w:pPr>
        <w:pStyle w:val="BodyTextFirstIndent"/>
        <w:ind w:firstLine="31680"/>
      </w:pPr>
    </w:p>
    <w:p w:rsidR="009A2671" w:rsidRDefault="009A2671" w:rsidP="00043A98">
      <w:pPr>
        <w:spacing w:line="400" w:lineRule="exact"/>
        <w:rPr>
          <w:rFonts w:ascii="仿宋_GB2312"/>
          <w:u w:val="single"/>
        </w:rPr>
      </w:pPr>
      <w:r>
        <w:rPr>
          <w:rFonts w:ascii="宋体" w:cs="宋体"/>
          <w:u w:val="single"/>
        </w:rPr>
        <w:t xml:space="preserve">                                                        </w:t>
      </w:r>
    </w:p>
    <w:p w:rsidR="009A2671" w:rsidRDefault="009A2671" w:rsidP="00043A98">
      <w:pPr>
        <w:spacing w:line="480" w:lineRule="exact"/>
        <w:rPr>
          <w:rFonts w:ascii="仿宋_GB2312"/>
          <w:u w:val="single"/>
        </w:rPr>
      </w:pPr>
      <w:r>
        <w:rPr>
          <w:rFonts w:ascii="仿宋_GB2312" w:cs="仿宋_GB2312" w:hint="eastAsia"/>
          <w:u w:val="single"/>
        </w:rPr>
        <w:t>景德镇市财政局办公室</w:t>
      </w:r>
      <w:r>
        <w:rPr>
          <w:rFonts w:ascii="仿宋_GB2312" w:cs="仿宋_GB2312"/>
          <w:u w:val="single"/>
        </w:rPr>
        <w:t xml:space="preserve">                2025</w:t>
      </w:r>
      <w:r>
        <w:rPr>
          <w:rFonts w:ascii="仿宋_GB2312" w:cs="仿宋_GB2312" w:hint="eastAsia"/>
          <w:u w:val="single"/>
        </w:rPr>
        <w:t>年</w:t>
      </w:r>
      <w:r>
        <w:rPr>
          <w:rFonts w:ascii="仿宋_GB2312" w:cs="仿宋_GB2312"/>
          <w:u w:val="single"/>
        </w:rPr>
        <w:t>3</w:t>
      </w:r>
      <w:r>
        <w:rPr>
          <w:rFonts w:ascii="仿宋_GB2312" w:cs="仿宋_GB2312" w:hint="eastAsia"/>
          <w:u w:val="single"/>
        </w:rPr>
        <w:t>月</w:t>
      </w:r>
      <w:r>
        <w:rPr>
          <w:rFonts w:ascii="仿宋_GB2312" w:cs="仿宋_GB2312"/>
          <w:u w:val="single"/>
        </w:rPr>
        <w:t>11</w:t>
      </w:r>
      <w:r>
        <w:rPr>
          <w:rFonts w:ascii="仿宋_GB2312" w:cs="仿宋_GB2312" w:hint="eastAsia"/>
          <w:u w:val="single"/>
        </w:rPr>
        <w:t>日印发</w:t>
      </w:r>
    </w:p>
    <w:p w:rsidR="009A2671" w:rsidRDefault="009A2671" w:rsidP="00043A98">
      <w:pPr>
        <w:spacing w:line="480" w:lineRule="exact"/>
        <w:jc w:val="right"/>
        <w:rPr>
          <w:rFonts w:ascii="仿宋_GB2312"/>
        </w:rPr>
      </w:pPr>
      <w:r>
        <w:rPr>
          <w:rFonts w:ascii="仿宋_GB2312" w:cs="仿宋_GB2312" w:hint="eastAsia"/>
        </w:rPr>
        <w:t>共印</w:t>
      </w:r>
      <w:r>
        <w:rPr>
          <w:rFonts w:ascii="仿宋_GB2312" w:cs="仿宋_GB2312"/>
        </w:rPr>
        <w:t>6</w:t>
      </w:r>
      <w:r>
        <w:rPr>
          <w:rFonts w:ascii="仿宋_GB2312" w:cs="仿宋_GB2312" w:hint="eastAsia"/>
        </w:rPr>
        <w:t>份</w:t>
      </w:r>
    </w:p>
    <w:sectPr w:rsidR="009A2671" w:rsidSect="00B91C58">
      <w:footerReference w:type="default" r:id="rId6"/>
      <w:pgSz w:w="11906" w:h="16838"/>
      <w:pgMar w:top="1418" w:right="1531" w:bottom="141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671" w:rsidRDefault="009A2671">
      <w:pPr>
        <w:spacing w:line="240" w:lineRule="auto"/>
      </w:pPr>
      <w:r>
        <w:separator/>
      </w:r>
    </w:p>
  </w:endnote>
  <w:endnote w:type="continuationSeparator" w:id="0">
    <w:p w:rsidR="009A2671" w:rsidRDefault="009A26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71" w:rsidRPr="00B91C58" w:rsidRDefault="009A2671" w:rsidP="00B825B2">
    <w:pPr>
      <w:pStyle w:val="Footer"/>
      <w:framePr w:wrap="auto" w:vAnchor="text" w:hAnchor="margin" w:xAlign="outside" w:y="1"/>
      <w:rPr>
        <w:rStyle w:val="PageNumber"/>
        <w:rFonts w:ascii="仿宋_GB2312"/>
        <w:sz w:val="28"/>
        <w:szCs w:val="28"/>
      </w:rPr>
    </w:pPr>
    <w:r w:rsidRPr="00B91C58">
      <w:rPr>
        <w:rStyle w:val="PageNumber"/>
        <w:rFonts w:ascii="仿宋_GB2312" w:cs="仿宋_GB2312"/>
        <w:sz w:val="28"/>
        <w:szCs w:val="28"/>
      </w:rPr>
      <w:fldChar w:fldCharType="begin"/>
    </w:r>
    <w:r w:rsidRPr="00B91C58">
      <w:rPr>
        <w:rStyle w:val="PageNumber"/>
        <w:rFonts w:ascii="仿宋_GB2312" w:cs="仿宋_GB2312"/>
        <w:sz w:val="28"/>
        <w:szCs w:val="28"/>
      </w:rPr>
      <w:instrText xml:space="preserve">PAGE  </w:instrText>
    </w:r>
    <w:r w:rsidRPr="00B91C58">
      <w:rPr>
        <w:rStyle w:val="PageNumber"/>
        <w:rFonts w:ascii="仿宋_GB2312" w:cs="仿宋_GB2312"/>
        <w:sz w:val="28"/>
        <w:szCs w:val="28"/>
      </w:rPr>
      <w:fldChar w:fldCharType="separate"/>
    </w:r>
    <w:r>
      <w:rPr>
        <w:rStyle w:val="PageNumber"/>
        <w:rFonts w:ascii="仿宋_GB2312" w:cs="仿宋_GB2312"/>
        <w:noProof/>
        <w:sz w:val="28"/>
        <w:szCs w:val="28"/>
      </w:rPr>
      <w:t>- 11 -</w:t>
    </w:r>
    <w:r w:rsidRPr="00B91C58">
      <w:rPr>
        <w:rStyle w:val="PageNumber"/>
        <w:rFonts w:ascii="仿宋_GB2312" w:cs="仿宋_GB2312"/>
        <w:sz w:val="28"/>
        <w:szCs w:val="28"/>
      </w:rPr>
      <w:fldChar w:fldCharType="end"/>
    </w:r>
  </w:p>
  <w:p w:rsidR="009A2671" w:rsidRDefault="009A2671" w:rsidP="00B91C58">
    <w:pPr>
      <w:spacing w:line="176" w:lineRule="auto"/>
      <w:ind w:right="360" w:firstLine="360"/>
      <w:rPr>
        <w:rFonts w:ascii="宋体" w:eastAsia="宋体" w:hAnsi="宋体"/>
        <w:sz w:val="29"/>
        <w:szCs w:val="2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671" w:rsidRDefault="009A2671">
      <w:pPr>
        <w:spacing w:line="240" w:lineRule="auto"/>
      </w:pPr>
      <w:r>
        <w:separator/>
      </w:r>
    </w:p>
  </w:footnote>
  <w:footnote w:type="continuationSeparator" w:id="0">
    <w:p w:rsidR="009A2671" w:rsidRDefault="009A267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67311A"/>
    <w:rsid w:val="00043A98"/>
    <w:rsid w:val="00144ADB"/>
    <w:rsid w:val="00146CE0"/>
    <w:rsid w:val="003E77C2"/>
    <w:rsid w:val="00545781"/>
    <w:rsid w:val="005813CF"/>
    <w:rsid w:val="005B591B"/>
    <w:rsid w:val="008F2C89"/>
    <w:rsid w:val="009A2671"/>
    <w:rsid w:val="00B021E9"/>
    <w:rsid w:val="00B825B2"/>
    <w:rsid w:val="00B82839"/>
    <w:rsid w:val="00B91C58"/>
    <w:rsid w:val="00BB179D"/>
    <w:rsid w:val="00BF32C6"/>
    <w:rsid w:val="00D31AA5"/>
    <w:rsid w:val="00D8671D"/>
    <w:rsid w:val="00E3391A"/>
    <w:rsid w:val="00F43C87"/>
    <w:rsid w:val="00F616BE"/>
    <w:rsid w:val="00F771D8"/>
    <w:rsid w:val="00F97136"/>
    <w:rsid w:val="00FB1B08"/>
    <w:rsid w:val="025657AD"/>
    <w:rsid w:val="04043713"/>
    <w:rsid w:val="053C0C8A"/>
    <w:rsid w:val="05B97C74"/>
    <w:rsid w:val="062736E9"/>
    <w:rsid w:val="06C929F2"/>
    <w:rsid w:val="06F32E19"/>
    <w:rsid w:val="092B7994"/>
    <w:rsid w:val="095473D3"/>
    <w:rsid w:val="0A086A8A"/>
    <w:rsid w:val="0ADA5765"/>
    <w:rsid w:val="0B0E3F55"/>
    <w:rsid w:val="0BDC4F75"/>
    <w:rsid w:val="0C344DB1"/>
    <w:rsid w:val="0D9E433A"/>
    <w:rsid w:val="0EC532D1"/>
    <w:rsid w:val="0F4E5D05"/>
    <w:rsid w:val="11494E5B"/>
    <w:rsid w:val="192E77AB"/>
    <w:rsid w:val="19A753E2"/>
    <w:rsid w:val="1A253F8B"/>
    <w:rsid w:val="1AA11864"/>
    <w:rsid w:val="1AEC406E"/>
    <w:rsid w:val="1C071E01"/>
    <w:rsid w:val="1CA56F49"/>
    <w:rsid w:val="223224EA"/>
    <w:rsid w:val="224D0523"/>
    <w:rsid w:val="2267311A"/>
    <w:rsid w:val="230B6414"/>
    <w:rsid w:val="246B637B"/>
    <w:rsid w:val="264D0AF2"/>
    <w:rsid w:val="26747E2C"/>
    <w:rsid w:val="26E97B58"/>
    <w:rsid w:val="274E63EA"/>
    <w:rsid w:val="27B8643F"/>
    <w:rsid w:val="27F57B0F"/>
    <w:rsid w:val="2BD34CF1"/>
    <w:rsid w:val="2CA62D0A"/>
    <w:rsid w:val="2D48688C"/>
    <w:rsid w:val="2E4B1DBB"/>
    <w:rsid w:val="2FE06533"/>
    <w:rsid w:val="32123E65"/>
    <w:rsid w:val="3240775C"/>
    <w:rsid w:val="32D06D32"/>
    <w:rsid w:val="339C6C14"/>
    <w:rsid w:val="33F702EF"/>
    <w:rsid w:val="34936360"/>
    <w:rsid w:val="36286E2C"/>
    <w:rsid w:val="371511E9"/>
    <w:rsid w:val="3851621F"/>
    <w:rsid w:val="392F6E44"/>
    <w:rsid w:val="39F8091D"/>
    <w:rsid w:val="3FA0183A"/>
    <w:rsid w:val="40374382"/>
    <w:rsid w:val="413A6513"/>
    <w:rsid w:val="41433ED6"/>
    <w:rsid w:val="432013D8"/>
    <w:rsid w:val="436239D7"/>
    <w:rsid w:val="43BB4E95"/>
    <w:rsid w:val="43D16466"/>
    <w:rsid w:val="43D60CD0"/>
    <w:rsid w:val="44114AB5"/>
    <w:rsid w:val="443B3501"/>
    <w:rsid w:val="4565330A"/>
    <w:rsid w:val="47B01C49"/>
    <w:rsid w:val="4A651F7C"/>
    <w:rsid w:val="4C163FB8"/>
    <w:rsid w:val="4CAE1A3B"/>
    <w:rsid w:val="4DA70238"/>
    <w:rsid w:val="4E6F31AD"/>
    <w:rsid w:val="528F4C97"/>
    <w:rsid w:val="5C93136F"/>
    <w:rsid w:val="5E661D6B"/>
    <w:rsid w:val="5F5801D3"/>
    <w:rsid w:val="61AD4F6B"/>
    <w:rsid w:val="61BB2ABD"/>
    <w:rsid w:val="625122C9"/>
    <w:rsid w:val="62922E0D"/>
    <w:rsid w:val="629C0408"/>
    <w:rsid w:val="62A27060"/>
    <w:rsid w:val="636E32B1"/>
    <w:rsid w:val="63B75221"/>
    <w:rsid w:val="64405216"/>
    <w:rsid w:val="66652D12"/>
    <w:rsid w:val="66F6704A"/>
    <w:rsid w:val="673D3C8F"/>
    <w:rsid w:val="68A708D1"/>
    <w:rsid w:val="6B1871F6"/>
    <w:rsid w:val="6C2C6080"/>
    <w:rsid w:val="6E041063"/>
    <w:rsid w:val="6EBB651D"/>
    <w:rsid w:val="70E76A1A"/>
    <w:rsid w:val="710F59D7"/>
    <w:rsid w:val="729C6DD4"/>
    <w:rsid w:val="743C750E"/>
    <w:rsid w:val="753348CC"/>
    <w:rsid w:val="7625426C"/>
    <w:rsid w:val="7915529B"/>
    <w:rsid w:val="79E8455F"/>
    <w:rsid w:val="79FF79F0"/>
    <w:rsid w:val="7B050F64"/>
    <w:rsid w:val="7B7F441F"/>
    <w:rsid w:val="7CE34539"/>
    <w:rsid w:val="7E247AE4"/>
    <w:rsid w:val="7ED52322"/>
    <w:rsid w:val="7F0709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B82839"/>
    <w:pPr>
      <w:widowControl w:val="0"/>
      <w:spacing w:line="600" w:lineRule="exact"/>
      <w:jc w:val="both"/>
    </w:pPr>
    <w:rPr>
      <w:rFonts w:eastAsia="仿宋_GB2312"/>
      <w:sz w:val="32"/>
      <w:szCs w:val="32"/>
    </w:rPr>
  </w:style>
  <w:style w:type="paragraph" w:styleId="Heading1">
    <w:name w:val="heading 1"/>
    <w:basedOn w:val="Normal"/>
    <w:next w:val="Normal"/>
    <w:link w:val="Heading1Char"/>
    <w:uiPriority w:val="99"/>
    <w:qFormat/>
    <w:rsid w:val="00B82839"/>
    <w:pPr>
      <w:keepNext/>
      <w:keepLines/>
      <w:spacing w:line="360" w:lineRule="auto"/>
      <w:jc w:val="center"/>
      <w:outlineLvl w:val="0"/>
    </w:pPr>
    <w:rPr>
      <w:rFonts w:ascii="方正大标宋简体" w:eastAsia="方正大标宋简体" w:hAnsi="方正大标宋简体" w:cs="方正大标宋简体"/>
      <w:kern w:val="44"/>
      <w:sz w:val="44"/>
      <w:szCs w:val="44"/>
    </w:rPr>
  </w:style>
  <w:style w:type="paragraph" w:styleId="Heading2">
    <w:name w:val="heading 2"/>
    <w:basedOn w:val="Normal"/>
    <w:next w:val="Normal"/>
    <w:link w:val="Heading2Char"/>
    <w:uiPriority w:val="99"/>
    <w:qFormat/>
    <w:rsid w:val="00B82839"/>
    <w:pPr>
      <w:keepNext/>
      <w:keepLines/>
      <w:outlineLvl w:val="1"/>
    </w:pPr>
    <w:rPr>
      <w:rFonts w:ascii="Arial" w:eastAsia="黑体" w:hAnsi="Arial" w:cs="Arial"/>
      <w:b/>
      <w:bCs/>
    </w:rPr>
  </w:style>
  <w:style w:type="paragraph" w:styleId="Heading3">
    <w:name w:val="heading 3"/>
    <w:basedOn w:val="Normal"/>
    <w:next w:val="Normal"/>
    <w:link w:val="Heading3Char"/>
    <w:uiPriority w:val="99"/>
    <w:qFormat/>
    <w:rsid w:val="00B82839"/>
    <w:pPr>
      <w:keepNext/>
      <w:keepLines/>
      <w:outlineLvl w:val="2"/>
    </w:pPr>
    <w:rPr>
      <w:rFonts w:eastAsia="楷体_GB2312"/>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3C87"/>
    <w:rPr>
      <w:rFonts w:eastAsia="仿宋_GB2312"/>
      <w:b/>
      <w:bCs/>
      <w:kern w:val="44"/>
      <w:sz w:val="44"/>
      <w:szCs w:val="44"/>
    </w:rPr>
  </w:style>
  <w:style w:type="character" w:customStyle="1" w:styleId="Heading2Char">
    <w:name w:val="Heading 2 Char"/>
    <w:basedOn w:val="DefaultParagraphFont"/>
    <w:link w:val="Heading2"/>
    <w:uiPriority w:val="99"/>
    <w:semiHidden/>
    <w:locked/>
    <w:rsid w:val="00F43C87"/>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F43C87"/>
    <w:rPr>
      <w:rFonts w:eastAsia="仿宋_GB2312"/>
      <w:b/>
      <w:bCs/>
      <w:sz w:val="32"/>
      <w:szCs w:val="32"/>
    </w:rPr>
  </w:style>
  <w:style w:type="paragraph" w:styleId="BodyText">
    <w:name w:val="Body Text"/>
    <w:basedOn w:val="Normal"/>
    <w:next w:val="BodyTextFirstIndent"/>
    <w:link w:val="BodyTextChar"/>
    <w:uiPriority w:val="99"/>
    <w:rsid w:val="00B82839"/>
    <w:rPr>
      <w:b/>
      <w:bCs/>
    </w:rPr>
  </w:style>
  <w:style w:type="character" w:customStyle="1" w:styleId="BodyTextChar">
    <w:name w:val="Body Text Char"/>
    <w:basedOn w:val="DefaultParagraphFont"/>
    <w:link w:val="BodyText"/>
    <w:uiPriority w:val="99"/>
    <w:semiHidden/>
    <w:locked/>
    <w:rsid w:val="00F43C87"/>
    <w:rPr>
      <w:rFonts w:eastAsia="仿宋_GB2312"/>
      <w:sz w:val="32"/>
      <w:szCs w:val="32"/>
    </w:rPr>
  </w:style>
  <w:style w:type="paragraph" w:styleId="BodyTextFirstIndent">
    <w:name w:val="Body Text First Indent"/>
    <w:basedOn w:val="BodyText"/>
    <w:link w:val="BodyTextFirstIndentChar"/>
    <w:uiPriority w:val="99"/>
    <w:rsid w:val="00B82839"/>
    <w:pPr>
      <w:ind w:firstLineChars="100" w:firstLine="420"/>
    </w:pPr>
  </w:style>
  <w:style w:type="character" w:customStyle="1" w:styleId="BodyTextFirstIndentChar">
    <w:name w:val="Body Text First Indent Char"/>
    <w:basedOn w:val="BodyTextChar"/>
    <w:link w:val="BodyTextFirstIndent"/>
    <w:uiPriority w:val="99"/>
    <w:semiHidden/>
    <w:locked/>
    <w:rsid w:val="00F43C87"/>
  </w:style>
  <w:style w:type="paragraph" w:styleId="BodyTextIndent">
    <w:name w:val="Body Text Indent"/>
    <w:basedOn w:val="Normal"/>
    <w:link w:val="BodyTextIndentChar"/>
    <w:uiPriority w:val="99"/>
    <w:rsid w:val="00B82839"/>
    <w:pPr>
      <w:ind w:leftChars="200" w:left="420"/>
    </w:pPr>
  </w:style>
  <w:style w:type="character" w:customStyle="1" w:styleId="BodyTextIndentChar">
    <w:name w:val="Body Text Indent Char"/>
    <w:basedOn w:val="DefaultParagraphFont"/>
    <w:link w:val="BodyTextIndent"/>
    <w:uiPriority w:val="99"/>
    <w:semiHidden/>
    <w:locked/>
    <w:rsid w:val="00F43C87"/>
    <w:rPr>
      <w:rFonts w:eastAsia="仿宋_GB2312"/>
      <w:sz w:val="32"/>
      <w:szCs w:val="32"/>
    </w:rPr>
  </w:style>
  <w:style w:type="paragraph" w:styleId="Footer">
    <w:name w:val="footer"/>
    <w:basedOn w:val="Normal"/>
    <w:link w:val="FooterChar"/>
    <w:uiPriority w:val="99"/>
    <w:rsid w:val="00B828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43C87"/>
    <w:rPr>
      <w:rFonts w:eastAsia="仿宋_GB2312"/>
      <w:sz w:val="18"/>
      <w:szCs w:val="18"/>
    </w:rPr>
  </w:style>
  <w:style w:type="paragraph" w:styleId="Header">
    <w:name w:val="header"/>
    <w:basedOn w:val="Normal"/>
    <w:link w:val="HeaderChar"/>
    <w:uiPriority w:val="99"/>
    <w:rsid w:val="00B82839"/>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szCs w:val="18"/>
    </w:rPr>
  </w:style>
  <w:style w:type="character" w:customStyle="1" w:styleId="HeaderChar">
    <w:name w:val="Header Char"/>
    <w:basedOn w:val="DefaultParagraphFont"/>
    <w:link w:val="Header"/>
    <w:uiPriority w:val="99"/>
    <w:semiHidden/>
    <w:locked/>
    <w:rsid w:val="00F43C87"/>
    <w:rPr>
      <w:rFonts w:eastAsia="仿宋_GB2312"/>
      <w:sz w:val="18"/>
      <w:szCs w:val="18"/>
    </w:rPr>
  </w:style>
  <w:style w:type="character" w:styleId="Emphasis">
    <w:name w:val="Emphasis"/>
    <w:basedOn w:val="DefaultParagraphFont"/>
    <w:uiPriority w:val="99"/>
    <w:qFormat/>
    <w:rsid w:val="00B82839"/>
    <w:rPr>
      <w:i/>
      <w:iCs/>
    </w:rPr>
  </w:style>
  <w:style w:type="character" w:customStyle="1" w:styleId="skin-original">
    <w:name w:val="skin-original"/>
    <w:basedOn w:val="DefaultParagraphFont"/>
    <w:uiPriority w:val="99"/>
    <w:rsid w:val="00B82839"/>
  </w:style>
  <w:style w:type="paragraph" w:customStyle="1" w:styleId="CharCharCharCharCharCharChar">
    <w:name w:val="Char Char Char Char Char Char Char"/>
    <w:basedOn w:val="Normal"/>
    <w:uiPriority w:val="99"/>
    <w:rsid w:val="00F616BE"/>
    <w:pPr>
      <w:spacing w:line="240" w:lineRule="auto"/>
    </w:pPr>
    <w:rPr>
      <w:rFonts w:eastAsia="宋体"/>
      <w:sz w:val="21"/>
      <w:szCs w:val="21"/>
    </w:rPr>
  </w:style>
  <w:style w:type="character" w:styleId="PageNumber">
    <w:name w:val="page number"/>
    <w:basedOn w:val="DefaultParagraphFont"/>
    <w:uiPriority w:val="99"/>
    <w:locked/>
    <w:rsid w:val="00B91C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12</Pages>
  <Words>915</Words>
  <Characters>5218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付饶Joseph Rao</dc:creator>
  <cp:keywords/>
  <dc:description/>
  <cp:lastModifiedBy>PC</cp:lastModifiedBy>
  <cp:revision>6</cp:revision>
  <cp:lastPrinted>2025-03-12T01:33:00Z</cp:lastPrinted>
  <dcterms:created xsi:type="dcterms:W3CDTF">2025-02-05T01:11:00Z</dcterms:created>
  <dcterms:modified xsi:type="dcterms:W3CDTF">2025-03-12T01:33:00Z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577BD8CFB8B14452A30C548C98EA5DAF_13</vt:lpwstr>
  </property>
  <property fmtid="{D5CDD505-2E9C-101B-9397-08002B2CF9AE}" pid="4" name="KSOTemplateDocerSaveRecord">
    <vt:lpwstr>eyJoZGlkIjoiZjRhM2Y4ODljOTNmMDk5MDUzMzdhNjFjYTg5YTZkM2MiLCJ1c2VySWQiOiI0ODg4ODQ1NzgifQ==</vt:lpwstr>
  </property>
</Properties>
</file>